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eastAsia="黑体"/>
          <w:b/>
          <w:color w:val="000000"/>
          <w:sz w:val="32"/>
          <w:szCs w:val="32"/>
        </w:rPr>
      </w:pPr>
      <w:r>
        <w:rPr>
          <w:rFonts w:hint="eastAsia" w:eastAsia="黑体"/>
          <w:b/>
          <w:color w:val="000000"/>
          <w:sz w:val="32"/>
          <w:szCs w:val="32"/>
        </w:rPr>
        <w:t>生态系统分析数据采集仪</w:t>
      </w:r>
      <w:r>
        <w:rPr>
          <w:rFonts w:eastAsia="黑体"/>
          <w:b/>
          <w:color w:val="000000"/>
          <w:sz w:val="32"/>
          <w:szCs w:val="32"/>
        </w:rPr>
        <w:t>设备购置论证报告</w:t>
      </w:r>
    </w:p>
    <w:p>
      <w:pPr>
        <w:ind w:firstLine="562" w:firstLineChars="200"/>
        <w:rPr>
          <w:rFonts w:eastAsia="仿宋_GB2312"/>
          <w:b/>
          <w:color w:val="000000"/>
          <w:sz w:val="28"/>
          <w:szCs w:val="28"/>
        </w:rPr>
      </w:pPr>
      <w:r>
        <w:rPr>
          <w:rFonts w:eastAsia="仿宋_GB2312"/>
          <w:b/>
          <w:color w:val="000000"/>
          <w:sz w:val="28"/>
          <w:szCs w:val="28"/>
        </w:rPr>
        <w:t>一、拟建项目</w:t>
      </w:r>
    </w:p>
    <w:p>
      <w:pPr>
        <w:spacing w:line="580" w:lineRule="exact"/>
        <w:ind w:firstLine="560" w:firstLineChars="200"/>
        <w:rPr>
          <w:rFonts w:hint="eastAsia" w:ascii="仿宋_GB2312" w:eastAsia="仿宋_GB2312"/>
          <w:color w:val="000000"/>
          <w:sz w:val="28"/>
          <w:szCs w:val="28"/>
        </w:rPr>
      </w:pPr>
      <w:r>
        <w:rPr>
          <w:rFonts w:hint="eastAsia" w:ascii="仿宋_GB2312" w:eastAsia="仿宋_GB2312"/>
          <w:color w:val="000000"/>
          <w:sz w:val="28"/>
          <w:szCs w:val="28"/>
        </w:rPr>
        <w:t>生态系统分析数据采集仪</w:t>
      </w:r>
    </w:p>
    <w:p>
      <w:pPr>
        <w:ind w:firstLine="562" w:firstLineChars="200"/>
        <w:rPr>
          <w:rFonts w:eastAsia="仿宋_GB2312"/>
          <w:b/>
          <w:color w:val="000000"/>
          <w:sz w:val="28"/>
          <w:szCs w:val="28"/>
        </w:rPr>
      </w:pPr>
      <w:r>
        <w:rPr>
          <w:rFonts w:eastAsia="仿宋_GB2312"/>
          <w:b/>
          <w:color w:val="000000"/>
          <w:sz w:val="28"/>
          <w:szCs w:val="28"/>
        </w:rPr>
        <w:t>二、设备简介</w:t>
      </w:r>
    </w:p>
    <w:p>
      <w:pPr>
        <w:ind w:firstLine="562" w:firstLineChars="200"/>
        <w:rPr>
          <w:rFonts w:eastAsia="仿宋_GB2312"/>
          <w:b/>
          <w:color w:val="000000"/>
          <w:sz w:val="28"/>
          <w:szCs w:val="28"/>
        </w:rPr>
      </w:pPr>
      <w:r>
        <w:rPr>
          <w:rFonts w:eastAsia="仿宋_GB2312"/>
          <w:b/>
          <w:color w:val="000000"/>
          <w:sz w:val="28"/>
          <w:szCs w:val="28"/>
        </w:rPr>
        <w:t>（一）设备基本信息</w:t>
      </w:r>
    </w:p>
    <w:p>
      <w:pPr>
        <w:spacing w:line="580" w:lineRule="exact"/>
        <w:ind w:firstLine="560" w:firstLineChars="200"/>
        <w:rPr>
          <w:rFonts w:hint="eastAsia" w:ascii="仿宋_GB2312" w:eastAsia="仿宋_GB2312"/>
          <w:color w:val="000000"/>
          <w:sz w:val="28"/>
          <w:szCs w:val="28"/>
        </w:rPr>
      </w:pPr>
      <w:r>
        <w:rPr>
          <w:rFonts w:hint="eastAsia" w:ascii="仿宋_GB2312" w:eastAsia="仿宋_GB2312"/>
          <w:color w:val="000000"/>
          <w:sz w:val="28"/>
          <w:szCs w:val="28"/>
        </w:rPr>
        <w:t>生产厂家：新加坡、ABI</w:t>
      </w:r>
    </w:p>
    <w:p>
      <w:pPr>
        <w:spacing w:line="580" w:lineRule="exact"/>
        <w:ind w:firstLine="560" w:firstLineChars="200"/>
        <w:rPr>
          <w:rFonts w:hint="eastAsia" w:ascii="仿宋_GB2312" w:eastAsia="仿宋_GB2312"/>
          <w:color w:val="000000"/>
          <w:sz w:val="28"/>
          <w:szCs w:val="28"/>
        </w:rPr>
      </w:pPr>
      <w:r>
        <w:rPr>
          <w:rFonts w:hint="eastAsia" w:ascii="仿宋_GB2312" w:eastAsia="仿宋_GB2312"/>
          <w:color w:val="000000"/>
          <w:sz w:val="28"/>
          <w:szCs w:val="28"/>
        </w:rPr>
        <w:t>规格型号：Seq</w:t>
      </w:r>
    </w:p>
    <w:p>
      <w:pPr>
        <w:spacing w:line="580" w:lineRule="exact"/>
        <w:ind w:firstLine="560" w:firstLineChars="200"/>
        <w:rPr>
          <w:rFonts w:hint="eastAsia" w:ascii="仿宋_GB2312" w:eastAsia="仿宋_GB2312"/>
          <w:color w:val="000000"/>
          <w:sz w:val="28"/>
          <w:szCs w:val="28"/>
        </w:rPr>
      </w:pPr>
      <w:r>
        <w:rPr>
          <w:rFonts w:hint="eastAsia" w:ascii="仿宋_GB2312" w:eastAsia="仿宋_GB2312"/>
          <w:color w:val="000000"/>
          <w:sz w:val="28"/>
          <w:szCs w:val="28"/>
        </w:rPr>
        <w:t>参考价格：</w:t>
      </w:r>
      <w:r>
        <w:rPr>
          <w:rFonts w:hint="eastAsia" w:ascii="仿宋_GB2312" w:eastAsia="仿宋_GB2312"/>
          <w:color w:val="000000"/>
          <w:sz w:val="28"/>
          <w:szCs w:val="28"/>
          <w:lang w:val="en-US" w:eastAsia="zh-CN"/>
        </w:rPr>
        <w:t>3</w:t>
      </w:r>
      <w:r>
        <w:rPr>
          <w:rFonts w:hint="eastAsia" w:ascii="仿宋_GB2312" w:eastAsia="仿宋_GB2312"/>
          <w:color w:val="000000"/>
          <w:sz w:val="28"/>
          <w:szCs w:val="28"/>
        </w:rPr>
        <w:t>8万元</w:t>
      </w:r>
    </w:p>
    <w:p>
      <w:pPr>
        <w:ind w:firstLine="562" w:firstLineChars="200"/>
        <w:rPr>
          <w:rFonts w:eastAsia="仿宋_GB2312"/>
          <w:b/>
          <w:color w:val="000000"/>
          <w:sz w:val="28"/>
          <w:szCs w:val="28"/>
        </w:rPr>
      </w:pPr>
      <w:r>
        <w:rPr>
          <w:rFonts w:eastAsia="仿宋_GB2312"/>
          <w:b/>
          <w:color w:val="000000"/>
          <w:sz w:val="28"/>
          <w:szCs w:val="28"/>
        </w:rPr>
        <w:t>（二）设备的先进性和适用性</w:t>
      </w:r>
    </w:p>
    <w:p>
      <w:pPr>
        <w:spacing w:line="580" w:lineRule="exact"/>
        <w:ind w:firstLine="560" w:firstLineChars="200"/>
        <w:rPr>
          <w:rFonts w:hint="eastAsia" w:ascii="仿宋_GB2312" w:eastAsia="仿宋_GB2312"/>
          <w:color w:val="000000"/>
          <w:sz w:val="28"/>
          <w:szCs w:val="28"/>
        </w:rPr>
      </w:pPr>
      <w:r>
        <w:rPr>
          <w:rFonts w:hint="eastAsia" w:ascii="仿宋_GB2312" w:eastAsia="仿宋_GB2312"/>
          <w:color w:val="000000"/>
          <w:sz w:val="28"/>
          <w:szCs w:val="28"/>
        </w:rPr>
        <w:t>1、设备的主要技术参数</w:t>
      </w:r>
    </w:p>
    <w:p>
      <w:pPr>
        <w:spacing w:line="580" w:lineRule="exact"/>
        <w:ind w:firstLine="560" w:firstLineChars="200"/>
        <w:rPr>
          <w:rFonts w:hint="eastAsia" w:ascii="仿宋_GB2312" w:eastAsia="仿宋_GB2312"/>
          <w:color w:val="000000"/>
          <w:sz w:val="28"/>
          <w:szCs w:val="28"/>
        </w:rPr>
      </w:pPr>
      <w:r>
        <w:rPr>
          <w:rFonts w:hint="eastAsia" w:ascii="仿宋_GB2312" w:eastAsia="仿宋_GB2312"/>
          <w:color w:val="000000"/>
          <w:sz w:val="28"/>
          <w:szCs w:val="28"/>
        </w:rPr>
        <w:t>可以连接到一个可选的生态系统，从而可以由用户选定的其它合作者及科学家分享和监控仪器数据。</w:t>
      </w:r>
    </w:p>
    <w:p>
      <w:pPr>
        <w:spacing w:line="580" w:lineRule="exact"/>
        <w:ind w:firstLine="560" w:firstLineChars="200"/>
        <w:rPr>
          <w:rFonts w:hint="eastAsia" w:ascii="仿宋_GB2312" w:eastAsia="仿宋_GB2312"/>
          <w:color w:val="000000"/>
          <w:sz w:val="28"/>
          <w:szCs w:val="28"/>
        </w:rPr>
      </w:pPr>
      <w:r>
        <w:rPr>
          <w:rFonts w:hint="eastAsia" w:ascii="仿宋_GB2312" w:eastAsia="仿宋_GB2312"/>
          <w:color w:val="000000"/>
          <w:sz w:val="28"/>
          <w:szCs w:val="28"/>
        </w:rPr>
        <w:t>仪器可连接至一个生态系统，并且自动上传仪器的数据/状态。</w:t>
      </w:r>
    </w:p>
    <w:p>
      <w:pPr>
        <w:spacing w:line="580" w:lineRule="exact"/>
        <w:ind w:firstLine="560" w:firstLineChars="200"/>
        <w:rPr>
          <w:rFonts w:hint="eastAsia" w:ascii="仿宋_GB2312" w:eastAsia="仿宋_GB2312"/>
          <w:color w:val="000000"/>
          <w:sz w:val="28"/>
          <w:szCs w:val="28"/>
        </w:rPr>
      </w:pPr>
      <w:r>
        <w:rPr>
          <w:rFonts w:hint="eastAsia" w:ascii="仿宋_GB2312" w:eastAsia="仿宋_GB2312"/>
          <w:color w:val="000000"/>
          <w:sz w:val="28"/>
          <w:szCs w:val="28"/>
        </w:rPr>
        <w:t>当与生态系统连接时，仪器允许联网的任意注册用户登录并使用。</w:t>
      </w:r>
    </w:p>
    <w:p>
      <w:pPr>
        <w:spacing w:line="580" w:lineRule="exact"/>
        <w:ind w:firstLine="560" w:firstLineChars="200"/>
        <w:rPr>
          <w:rFonts w:hint="eastAsia" w:ascii="仿宋_GB2312" w:eastAsia="仿宋_GB2312"/>
          <w:color w:val="000000"/>
          <w:sz w:val="28"/>
          <w:szCs w:val="28"/>
        </w:rPr>
      </w:pPr>
      <w:r>
        <w:rPr>
          <w:rFonts w:hint="eastAsia" w:ascii="仿宋_GB2312" w:eastAsia="仿宋_GB2312"/>
          <w:color w:val="000000"/>
          <w:sz w:val="28"/>
          <w:szCs w:val="28"/>
        </w:rPr>
        <w:t>2、设备的先进性</w:t>
      </w:r>
    </w:p>
    <w:p>
      <w:pPr>
        <w:spacing w:line="580" w:lineRule="exact"/>
        <w:ind w:firstLine="560" w:firstLineChars="200"/>
        <w:rPr>
          <w:rFonts w:hint="eastAsia" w:ascii="仿宋_GB2312" w:eastAsia="仿宋_GB2312"/>
          <w:color w:val="000000"/>
          <w:sz w:val="28"/>
          <w:szCs w:val="28"/>
        </w:rPr>
      </w:pPr>
      <w:r>
        <w:rPr>
          <w:rFonts w:hint="eastAsia" w:ascii="仿宋_GB2312" w:eastAsia="仿宋_GB2312"/>
          <w:color w:val="000000"/>
          <w:sz w:val="28"/>
          <w:szCs w:val="28"/>
        </w:rPr>
        <w:t>本设备的先进性主要体现在以下几个方面：</w:t>
      </w:r>
    </w:p>
    <w:p>
      <w:pPr>
        <w:spacing w:line="580" w:lineRule="exact"/>
        <w:ind w:firstLine="560" w:firstLineChars="200"/>
        <w:rPr>
          <w:rFonts w:hint="eastAsia" w:ascii="仿宋_GB2312" w:eastAsia="仿宋_GB2312"/>
          <w:color w:val="000000"/>
          <w:sz w:val="28"/>
          <w:szCs w:val="28"/>
        </w:rPr>
      </w:pPr>
      <w:r>
        <w:rPr>
          <w:rFonts w:hint="eastAsia" w:ascii="仿宋_GB2312" w:eastAsia="仿宋_GB2312"/>
          <w:color w:val="000000"/>
          <w:sz w:val="28"/>
          <w:szCs w:val="28"/>
        </w:rPr>
        <w:t>检测和数据分析功能，可以读取生态系统变化生并成相应的结果。</w:t>
      </w:r>
    </w:p>
    <w:p>
      <w:pPr>
        <w:spacing w:line="580" w:lineRule="exact"/>
        <w:ind w:firstLine="560" w:firstLineChars="200"/>
        <w:rPr>
          <w:rFonts w:hint="eastAsia" w:ascii="仿宋_GB2312" w:eastAsia="仿宋_GB2312"/>
          <w:color w:val="000000"/>
          <w:sz w:val="28"/>
          <w:szCs w:val="28"/>
        </w:rPr>
      </w:pPr>
      <w:r>
        <w:rPr>
          <w:rFonts w:hint="eastAsia" w:ascii="仿宋_GB2312" w:eastAsia="仿宋_GB2312"/>
          <w:color w:val="000000"/>
          <w:sz w:val="28"/>
          <w:szCs w:val="28"/>
        </w:rPr>
        <w:t>该设备符合节能减排的要求。实验消耗主要为电能，该设备以每年运算200天计，预计每年消耗电能达1000度，所需经费为0.15万元。有关费用从相关老师的科研经费中支出。</w:t>
      </w:r>
    </w:p>
    <w:p>
      <w:pPr>
        <w:spacing w:line="580" w:lineRule="exact"/>
        <w:ind w:firstLine="560" w:firstLineChars="200"/>
        <w:rPr>
          <w:rFonts w:hint="eastAsia" w:ascii="仿宋_GB2312" w:eastAsia="仿宋_GB2312"/>
          <w:color w:val="000000"/>
          <w:sz w:val="28"/>
          <w:szCs w:val="28"/>
        </w:rPr>
      </w:pPr>
      <w:r>
        <w:rPr>
          <w:rFonts w:hint="eastAsia" w:ascii="仿宋_GB2312" w:eastAsia="仿宋_GB2312"/>
          <w:color w:val="000000"/>
          <w:sz w:val="28"/>
          <w:szCs w:val="28"/>
        </w:rPr>
        <w:t>3、设备的应用范围</w:t>
      </w:r>
    </w:p>
    <w:p>
      <w:pPr>
        <w:spacing w:line="580" w:lineRule="exact"/>
        <w:ind w:firstLine="560" w:firstLineChars="200"/>
        <w:rPr>
          <w:rFonts w:hint="eastAsia" w:ascii="仿宋_GB2312" w:eastAsia="仿宋_GB2312"/>
          <w:color w:val="000000"/>
          <w:sz w:val="28"/>
          <w:szCs w:val="28"/>
        </w:rPr>
      </w:pPr>
      <w:r>
        <w:rPr>
          <w:rFonts w:hint="eastAsia" w:ascii="仿宋_GB2312" w:eastAsia="仿宋_GB2312"/>
          <w:color w:val="000000"/>
          <w:sz w:val="28"/>
          <w:szCs w:val="28"/>
        </w:rPr>
        <w:t>该设备特别符合当前相关实验室的研究方向，将实验室手工方法自动化，解放劳动力，减少测试成本，数据可比性强，重复性好，检测极限低。主要应用于来自旅游区自然水土、群体环境中的各种样品包括自来水、地表水、污水、烟草、土壤、植株、肥料、食品和其他工业样品中各类微生物、动物、植物与环境的自动检测，应用广泛。</w:t>
      </w:r>
    </w:p>
    <w:p>
      <w:pPr>
        <w:spacing w:line="360" w:lineRule="auto"/>
        <w:ind w:firstLine="562" w:firstLineChars="200"/>
        <w:rPr>
          <w:rFonts w:eastAsia="仿宋_GB2312"/>
          <w:b/>
          <w:color w:val="000000"/>
          <w:sz w:val="28"/>
          <w:szCs w:val="28"/>
        </w:rPr>
      </w:pPr>
      <w:r>
        <w:rPr>
          <w:rFonts w:eastAsia="仿宋_GB2312"/>
          <w:b/>
          <w:color w:val="000000"/>
          <w:sz w:val="28"/>
          <w:szCs w:val="28"/>
        </w:rPr>
        <w:t>三、我校采购本设备的必要性</w:t>
      </w:r>
    </w:p>
    <w:p>
      <w:pPr>
        <w:spacing w:line="580" w:lineRule="exact"/>
        <w:ind w:firstLine="560" w:firstLineChars="200"/>
        <w:rPr>
          <w:rFonts w:hint="eastAsia" w:ascii="仿宋_GB2312" w:eastAsia="仿宋_GB2312"/>
          <w:color w:val="000000"/>
          <w:sz w:val="28"/>
          <w:szCs w:val="28"/>
        </w:rPr>
      </w:pPr>
      <w:r>
        <w:rPr>
          <w:rFonts w:hint="eastAsia" w:ascii="仿宋_GB2312" w:eastAsia="仿宋_GB2312"/>
          <w:color w:val="000000"/>
          <w:sz w:val="28"/>
          <w:szCs w:val="28"/>
        </w:rPr>
        <w:t>1</w:t>
      </w:r>
      <w:r>
        <w:rPr>
          <w:rFonts w:hint="eastAsia" w:ascii="仿宋_GB2312" w:eastAsia="仿宋_GB2312"/>
          <w:color w:val="000000"/>
          <w:sz w:val="28"/>
          <w:szCs w:val="28"/>
          <w:lang w:eastAsia="zh-CN"/>
        </w:rPr>
        <w:t>、</w:t>
      </w:r>
      <w:r>
        <w:rPr>
          <w:rFonts w:hint="eastAsia" w:ascii="仿宋_GB2312" w:eastAsia="仿宋_GB2312"/>
          <w:color w:val="000000"/>
          <w:sz w:val="28"/>
          <w:szCs w:val="28"/>
        </w:rPr>
        <w:t>从本科教学、开放实验、学科建设、社会服务等方面介绍</w:t>
      </w:r>
    </w:p>
    <w:p>
      <w:pPr>
        <w:spacing w:line="580" w:lineRule="exact"/>
        <w:ind w:firstLine="560" w:firstLineChars="200"/>
        <w:rPr>
          <w:rFonts w:hint="eastAsia" w:ascii="仿宋_GB2312" w:eastAsia="仿宋_GB2312"/>
          <w:color w:val="000000"/>
          <w:sz w:val="28"/>
          <w:szCs w:val="28"/>
        </w:rPr>
      </w:pPr>
      <w:r>
        <w:rPr>
          <w:rFonts w:hint="eastAsia" w:ascii="仿宋_GB2312" w:eastAsia="仿宋_GB2312"/>
          <w:color w:val="000000"/>
          <w:sz w:val="28"/>
          <w:szCs w:val="28"/>
        </w:rPr>
        <w:t>生态旅游重点实验室在原有的生态旅游实验室基础上建设，现有实验教学用房500 m2，能开设实验项目10个。由于生态旅游专业开设时间不长，投入有限，因而实验室的现有教学资源不足，离本科教学的人才培养质量要求尚有差距，实验课开出率不理想，设计性、综合性、创新性的实验开出少，制约了生态旅游专业的建设和发展。以达到专业教学基本条件为目标来改造建设本实验室，对于提高专业办学质量，培养高素质应用型人才成为学校当前紧迫的建设任务之一。</w:t>
      </w:r>
    </w:p>
    <w:p>
      <w:pPr>
        <w:spacing w:line="580" w:lineRule="exact"/>
        <w:ind w:firstLine="560" w:firstLineChars="200"/>
        <w:rPr>
          <w:rFonts w:hint="eastAsia" w:ascii="仿宋_GB2312" w:eastAsia="仿宋_GB2312"/>
          <w:color w:val="000000"/>
          <w:sz w:val="28"/>
          <w:szCs w:val="28"/>
        </w:rPr>
      </w:pPr>
      <w:r>
        <w:rPr>
          <w:rFonts w:hint="eastAsia" w:ascii="仿宋_GB2312" w:eastAsia="仿宋_GB2312"/>
          <w:color w:val="000000"/>
          <w:sz w:val="28"/>
          <w:szCs w:val="28"/>
        </w:rPr>
        <w:t>根据20</w:t>
      </w:r>
      <w:r>
        <w:rPr>
          <w:rFonts w:hint="eastAsia" w:ascii="仿宋_GB2312" w:eastAsia="仿宋_GB2312"/>
          <w:color w:val="000000"/>
          <w:sz w:val="28"/>
          <w:szCs w:val="28"/>
          <w:lang w:val="en-US" w:eastAsia="zh-CN"/>
        </w:rPr>
        <w:t>16</w:t>
      </w:r>
      <w:r>
        <w:rPr>
          <w:rFonts w:hint="eastAsia" w:ascii="仿宋_GB2312" w:eastAsia="仿宋_GB2312"/>
          <w:color w:val="000000"/>
          <w:sz w:val="28"/>
          <w:szCs w:val="28"/>
        </w:rPr>
        <w:t>年修订的旅游类专业人才培养方案和新开办的生态旅游专业教学计划需要，通过购买本设备，实验室计划建设生态旅游生物学实验分室，达到承担专业相关的《景区环境监测》、《旅游生态》和《生态旅游》等课程实践教学、科研及学生科技创新活动的需要。</w:t>
      </w:r>
    </w:p>
    <w:p>
      <w:pPr>
        <w:spacing w:line="580" w:lineRule="exact"/>
        <w:ind w:firstLine="560" w:firstLineChars="200"/>
        <w:rPr>
          <w:rFonts w:hint="eastAsia" w:ascii="仿宋_GB2312" w:eastAsia="仿宋_GB2312"/>
          <w:color w:val="000000"/>
          <w:sz w:val="28"/>
          <w:szCs w:val="28"/>
        </w:rPr>
      </w:pPr>
      <w:r>
        <w:rPr>
          <w:rFonts w:hint="eastAsia" w:ascii="仿宋_GB2312" w:eastAsia="仿宋_GB2312"/>
          <w:color w:val="000000"/>
          <w:sz w:val="28"/>
          <w:szCs w:val="28"/>
        </w:rPr>
        <w:t>同时，购买本设备，建设生态旅游湖南省重点实验室生态环境监测和生态生物学实验分室，也是为地方经济建设服务的需要。我校地处武陵山地区的四省（市）边区，该区地形复杂，生物、矿产等资源丰富，当地正在大力发展利用相关资源的工业。因此，科学的开发利用山区优势资源，振兴地方经济，而又尽可能少破坏生态环境便成了摆在我们面前的重要任务之一。而建立一个集教学、科研功能为一体的平台，既可以培养高质量的专业人才，也可直接从事三废治理、资源综合利用研究的环境科学与工程实验室则是完成这项重要任务的先决条件。</w:t>
      </w:r>
    </w:p>
    <w:p>
      <w:pPr>
        <w:spacing w:line="580" w:lineRule="exact"/>
        <w:ind w:firstLine="560" w:firstLineChars="200"/>
        <w:rPr>
          <w:rFonts w:hint="eastAsia" w:ascii="仿宋_GB2312" w:eastAsia="仿宋_GB2312"/>
          <w:color w:val="000000"/>
          <w:sz w:val="28"/>
          <w:szCs w:val="28"/>
        </w:rPr>
      </w:pPr>
      <w:r>
        <w:rPr>
          <w:rFonts w:hint="eastAsia" w:ascii="仿宋_GB2312" w:eastAsia="仿宋_GB2312"/>
          <w:color w:val="000000"/>
          <w:sz w:val="28"/>
          <w:szCs w:val="28"/>
        </w:rPr>
        <w:t>2</w:t>
      </w:r>
      <w:r>
        <w:rPr>
          <w:rFonts w:hint="eastAsia" w:ascii="仿宋_GB2312" w:eastAsia="仿宋_GB2312"/>
          <w:color w:val="000000"/>
          <w:sz w:val="28"/>
          <w:szCs w:val="28"/>
          <w:lang w:eastAsia="zh-CN"/>
        </w:rPr>
        <w:t>、</w:t>
      </w:r>
      <w:r>
        <w:rPr>
          <w:rFonts w:hint="eastAsia" w:ascii="仿宋_GB2312" w:eastAsia="仿宋_GB2312"/>
          <w:color w:val="000000"/>
          <w:sz w:val="28"/>
          <w:szCs w:val="28"/>
        </w:rPr>
        <w:t>我校是否有稳定的学科团队、稳定的学科方向使用该设备？</w:t>
      </w:r>
    </w:p>
    <w:p>
      <w:pPr>
        <w:spacing w:line="580" w:lineRule="exact"/>
        <w:ind w:firstLine="560" w:firstLineChars="200"/>
        <w:rPr>
          <w:rFonts w:hint="eastAsia" w:ascii="仿宋_GB2312" w:eastAsia="仿宋_GB2312"/>
          <w:color w:val="000000"/>
          <w:sz w:val="28"/>
          <w:szCs w:val="28"/>
        </w:rPr>
      </w:pPr>
      <w:r>
        <w:rPr>
          <w:rFonts w:hint="eastAsia" w:ascii="仿宋_GB2312" w:eastAsia="仿宋_GB2312"/>
          <w:color w:val="000000"/>
          <w:sz w:val="28"/>
          <w:szCs w:val="28"/>
        </w:rPr>
        <w:t>我校生态学学科团队重点针对受损的生态系统（如旅游区）中的环境污染进行实时监测，为生态系统的保护、资源利用和管理提供理论依据和技术支持，以期为我校生态学科和旅游学科的发展提供新的研究方法，同时可以加学生的专业创新意识与创新能力。</w:t>
      </w:r>
    </w:p>
    <w:p>
      <w:pPr>
        <w:spacing w:line="580" w:lineRule="exact"/>
        <w:ind w:firstLine="560" w:firstLineChars="200"/>
        <w:rPr>
          <w:rFonts w:hint="eastAsia" w:ascii="仿宋_GB2312" w:eastAsia="仿宋_GB2312"/>
          <w:color w:val="000000"/>
          <w:sz w:val="28"/>
          <w:szCs w:val="28"/>
        </w:rPr>
      </w:pPr>
      <w:r>
        <w:rPr>
          <w:rFonts w:hint="eastAsia" w:ascii="仿宋_GB2312" w:eastAsia="仿宋_GB2312"/>
          <w:color w:val="000000"/>
          <w:sz w:val="28"/>
          <w:szCs w:val="28"/>
        </w:rPr>
        <w:t>我校资环学院生态旅游学科已有稳定的学科团队、稳定的学科方向使用该设备。该学科方向目前每年平均在国内外SCI期刊发表科研论文10篇左右。该设备的购置，可以更好的促进相关科研团队的凝练和提升，提高我校相关研究领域的科研成果。</w:t>
      </w:r>
    </w:p>
    <w:p>
      <w:pPr>
        <w:spacing w:line="580" w:lineRule="exact"/>
        <w:ind w:firstLine="560" w:firstLineChars="200"/>
        <w:rPr>
          <w:rFonts w:hint="eastAsia" w:ascii="仿宋_GB2312" w:eastAsia="仿宋_GB2312"/>
          <w:color w:val="000000"/>
          <w:sz w:val="28"/>
          <w:szCs w:val="28"/>
        </w:rPr>
      </w:pPr>
      <w:r>
        <w:rPr>
          <w:rFonts w:hint="eastAsia" w:ascii="仿宋_GB2312" w:eastAsia="仿宋_GB2312"/>
          <w:color w:val="000000"/>
          <w:sz w:val="28"/>
          <w:szCs w:val="28"/>
        </w:rPr>
        <w:t>3</w:t>
      </w:r>
      <w:r>
        <w:rPr>
          <w:rFonts w:hint="eastAsia" w:ascii="仿宋_GB2312" w:eastAsia="仿宋_GB2312"/>
          <w:color w:val="000000"/>
          <w:sz w:val="28"/>
          <w:szCs w:val="28"/>
          <w:lang w:eastAsia="zh-CN"/>
        </w:rPr>
        <w:t>、</w:t>
      </w:r>
      <w:r>
        <w:rPr>
          <w:rFonts w:hint="eastAsia" w:ascii="仿宋_GB2312" w:eastAsia="仿宋_GB2312"/>
          <w:color w:val="000000"/>
          <w:sz w:val="28"/>
          <w:szCs w:val="28"/>
        </w:rPr>
        <w:t>该设备能否通过与其他高校共享解决等，如果是进口设备说明不能采用同类国产设备的原因。</w:t>
      </w:r>
    </w:p>
    <w:p>
      <w:pPr>
        <w:spacing w:line="580" w:lineRule="exact"/>
        <w:ind w:firstLine="560" w:firstLineChars="200"/>
        <w:rPr>
          <w:rFonts w:hint="eastAsia" w:ascii="仿宋_GB2312" w:eastAsia="仿宋_GB2312"/>
          <w:color w:val="000000"/>
          <w:sz w:val="28"/>
          <w:szCs w:val="28"/>
        </w:rPr>
      </w:pPr>
      <w:r>
        <w:rPr>
          <w:rFonts w:hint="eastAsia" w:ascii="仿宋_GB2312" w:eastAsia="仿宋_GB2312"/>
          <w:color w:val="000000"/>
          <w:sz w:val="28"/>
          <w:szCs w:val="28"/>
        </w:rPr>
        <w:t>该设备无法通过与其他高校共享解决。该设备为进口设备，目前国内同类设备技术参数低、功能不强，检测项目偏少。</w:t>
      </w:r>
    </w:p>
    <w:p>
      <w:pPr>
        <w:spacing w:line="360" w:lineRule="auto"/>
        <w:ind w:firstLine="562" w:firstLineChars="200"/>
        <w:rPr>
          <w:rFonts w:hint="eastAsia" w:eastAsia="仿宋_GB2312"/>
          <w:b/>
          <w:color w:val="000000"/>
          <w:sz w:val="28"/>
          <w:szCs w:val="28"/>
        </w:rPr>
      </w:pPr>
      <w:r>
        <w:rPr>
          <w:rFonts w:hint="eastAsia" w:eastAsia="仿宋_GB2312"/>
          <w:b/>
          <w:color w:val="000000"/>
          <w:sz w:val="28"/>
          <w:szCs w:val="28"/>
        </w:rPr>
        <w:t>四、设备使用效益及风险分析</w:t>
      </w:r>
    </w:p>
    <w:p>
      <w:pPr>
        <w:ind w:firstLine="562" w:firstLineChars="200"/>
        <w:rPr>
          <w:rFonts w:hint="eastAsia" w:eastAsia="仿宋_GB2312"/>
          <w:b/>
          <w:color w:val="000000"/>
          <w:sz w:val="28"/>
          <w:szCs w:val="28"/>
        </w:rPr>
      </w:pPr>
      <w:r>
        <w:rPr>
          <w:rFonts w:hint="eastAsia" w:eastAsia="仿宋_GB2312"/>
          <w:b/>
          <w:color w:val="000000"/>
          <w:sz w:val="28"/>
          <w:szCs w:val="28"/>
        </w:rPr>
        <w:t>（一）设备使用效益分析</w:t>
      </w:r>
    </w:p>
    <w:p>
      <w:pPr>
        <w:spacing w:line="580" w:lineRule="exact"/>
        <w:ind w:firstLine="560" w:firstLineChars="200"/>
        <w:rPr>
          <w:rFonts w:hint="eastAsia" w:ascii="仿宋_GB2312" w:eastAsia="仿宋_GB2312"/>
          <w:color w:val="000000"/>
          <w:sz w:val="28"/>
          <w:szCs w:val="28"/>
        </w:rPr>
      </w:pPr>
      <w:r>
        <w:rPr>
          <w:rFonts w:hint="eastAsia" w:ascii="仿宋_GB2312" w:eastAsia="仿宋_GB2312"/>
          <w:color w:val="000000"/>
          <w:sz w:val="28"/>
          <w:szCs w:val="28"/>
        </w:rPr>
        <w:t>1</w:t>
      </w:r>
      <w:r>
        <w:rPr>
          <w:rFonts w:hint="eastAsia" w:ascii="仿宋_GB2312" w:eastAsia="仿宋_GB2312"/>
          <w:color w:val="000000"/>
          <w:sz w:val="28"/>
          <w:szCs w:val="28"/>
          <w:lang w:eastAsia="zh-CN"/>
        </w:rPr>
        <w:t>、</w:t>
      </w:r>
      <w:r>
        <w:rPr>
          <w:rFonts w:hint="eastAsia" w:ascii="仿宋_GB2312" w:eastAsia="仿宋_GB2312"/>
          <w:color w:val="000000"/>
          <w:sz w:val="28"/>
          <w:szCs w:val="28"/>
        </w:rPr>
        <w:t>设备年使用机时</w:t>
      </w:r>
    </w:p>
    <w:p>
      <w:pPr>
        <w:spacing w:line="580" w:lineRule="exact"/>
        <w:ind w:firstLine="560" w:firstLineChars="200"/>
        <w:rPr>
          <w:rFonts w:hint="eastAsia" w:ascii="仿宋_GB2312" w:eastAsia="仿宋_GB2312"/>
          <w:color w:val="000000"/>
          <w:sz w:val="28"/>
          <w:szCs w:val="28"/>
        </w:rPr>
      </w:pPr>
      <w:r>
        <w:rPr>
          <w:rFonts w:hint="eastAsia" w:ascii="仿宋_GB2312" w:eastAsia="仿宋_GB2312"/>
          <w:color w:val="000000"/>
          <w:sz w:val="28"/>
          <w:szCs w:val="28"/>
        </w:rPr>
        <w:t>该设备每年预计使用机时达2400小时。其中，本科教学占400机时，开放实验占500机时、对外服务占200机时、科学研究占1300机时。</w:t>
      </w:r>
    </w:p>
    <w:p>
      <w:pPr>
        <w:spacing w:line="580" w:lineRule="exact"/>
        <w:ind w:firstLine="560" w:firstLineChars="200"/>
        <w:rPr>
          <w:rFonts w:hint="eastAsia" w:ascii="仿宋_GB2312" w:eastAsia="仿宋_GB2312"/>
          <w:color w:val="000000"/>
          <w:sz w:val="28"/>
          <w:szCs w:val="28"/>
        </w:rPr>
      </w:pPr>
      <w:r>
        <w:rPr>
          <w:rFonts w:hint="eastAsia" w:ascii="仿宋_GB2312" w:eastAsia="仿宋_GB2312"/>
          <w:color w:val="000000"/>
          <w:sz w:val="28"/>
          <w:szCs w:val="28"/>
        </w:rPr>
        <w:t>2</w:t>
      </w:r>
      <w:r>
        <w:rPr>
          <w:rFonts w:hint="eastAsia" w:ascii="仿宋_GB2312" w:eastAsia="仿宋_GB2312"/>
          <w:color w:val="000000"/>
          <w:sz w:val="28"/>
          <w:szCs w:val="28"/>
          <w:lang w:eastAsia="zh-CN"/>
        </w:rPr>
        <w:t>、</w:t>
      </w:r>
      <w:r>
        <w:rPr>
          <w:rFonts w:hint="eastAsia" w:ascii="仿宋_GB2312" w:eastAsia="仿宋_GB2312"/>
          <w:color w:val="000000"/>
          <w:sz w:val="28"/>
          <w:szCs w:val="28"/>
        </w:rPr>
        <w:t>设备投入使用后可以产生效益</w:t>
      </w:r>
    </w:p>
    <w:p>
      <w:pPr>
        <w:spacing w:line="580" w:lineRule="exact"/>
        <w:ind w:firstLine="560" w:firstLineChars="200"/>
        <w:rPr>
          <w:rFonts w:hint="eastAsia" w:ascii="仿宋_GB2312" w:eastAsia="仿宋_GB2312"/>
          <w:color w:val="000000"/>
          <w:sz w:val="28"/>
          <w:szCs w:val="28"/>
        </w:rPr>
      </w:pPr>
      <w:r>
        <w:rPr>
          <w:rFonts w:hint="eastAsia" w:ascii="仿宋_GB2312" w:eastAsia="仿宋_GB2312"/>
          <w:color w:val="000000"/>
          <w:sz w:val="28"/>
          <w:szCs w:val="28"/>
        </w:rPr>
        <w:t xml:space="preserve">本设备的购置，将极大地丰富和充实生态旅游实验室的内涵，大大增强现有实践教学项目开设能力。预计在本项目完成以后，将达到以下方面的投资效益： </w:t>
      </w:r>
    </w:p>
    <w:p>
      <w:pPr>
        <w:spacing w:line="580" w:lineRule="exact"/>
        <w:ind w:firstLine="560" w:firstLineChars="200"/>
        <w:rPr>
          <w:rFonts w:hint="eastAsia" w:ascii="仿宋_GB2312" w:eastAsia="仿宋_GB2312"/>
          <w:color w:val="000000"/>
          <w:sz w:val="28"/>
          <w:szCs w:val="28"/>
        </w:rPr>
      </w:pPr>
      <w:r>
        <w:rPr>
          <w:rFonts w:hint="eastAsia" w:ascii="仿宋_GB2312" w:eastAsia="仿宋_GB2312"/>
          <w:color w:val="000000"/>
          <w:sz w:val="28"/>
          <w:szCs w:val="28"/>
        </w:rPr>
        <w:t>（1）可满足我校生态学及相关专业的生态学、生态旅游、旅游生态教学需要（每年学生数为120人），还可能成为旅游生态学科研成果转化的平台。</w:t>
      </w:r>
    </w:p>
    <w:p>
      <w:pPr>
        <w:spacing w:line="580" w:lineRule="exact"/>
        <w:ind w:firstLine="560" w:firstLineChars="200"/>
        <w:rPr>
          <w:rFonts w:hint="eastAsia" w:ascii="仿宋_GB2312" w:eastAsia="仿宋_GB2312"/>
          <w:color w:val="000000"/>
          <w:sz w:val="28"/>
          <w:szCs w:val="28"/>
        </w:rPr>
      </w:pPr>
      <w:r>
        <w:rPr>
          <w:rFonts w:hint="eastAsia" w:ascii="仿宋_GB2312" w:eastAsia="仿宋_GB2312"/>
          <w:color w:val="000000"/>
          <w:sz w:val="28"/>
          <w:szCs w:val="28"/>
        </w:rPr>
        <w:t>（2）提高现有专业实验项目开出率和实验水平，增加创新性实验基础实验课，对于培养应用型专业人才有积极意义。</w:t>
      </w:r>
    </w:p>
    <w:p>
      <w:pPr>
        <w:spacing w:line="580" w:lineRule="exact"/>
        <w:ind w:firstLine="560" w:firstLineChars="200"/>
        <w:rPr>
          <w:rFonts w:hint="eastAsia" w:ascii="仿宋_GB2312" w:eastAsia="仿宋_GB2312"/>
          <w:color w:val="000000"/>
          <w:sz w:val="28"/>
          <w:szCs w:val="28"/>
        </w:rPr>
      </w:pPr>
      <w:r>
        <w:rPr>
          <w:rFonts w:hint="eastAsia" w:ascii="仿宋_GB2312" w:eastAsia="仿宋_GB2312"/>
          <w:color w:val="000000"/>
          <w:sz w:val="28"/>
          <w:szCs w:val="28"/>
        </w:rPr>
        <w:t>（3）实现仪器设备的资源共享、成为相关专业的公共平台：新增仪器设备到位后，不仅可使旅游生态类学生受益，也可为相关专业开设实验，还可供学生进行课外科技创新活动。</w:t>
      </w:r>
    </w:p>
    <w:p>
      <w:pPr>
        <w:spacing w:line="580" w:lineRule="exact"/>
        <w:ind w:firstLine="560" w:firstLineChars="200"/>
        <w:rPr>
          <w:rFonts w:hint="eastAsia" w:ascii="仿宋_GB2312" w:eastAsia="仿宋_GB2312"/>
          <w:color w:val="000000"/>
          <w:sz w:val="28"/>
          <w:szCs w:val="28"/>
        </w:rPr>
      </w:pPr>
      <w:r>
        <w:rPr>
          <w:rFonts w:hint="eastAsia" w:ascii="仿宋_GB2312" w:eastAsia="仿宋_GB2312"/>
          <w:color w:val="000000"/>
          <w:sz w:val="28"/>
          <w:szCs w:val="28"/>
        </w:rPr>
        <w:t>（4）为整个生态旅游学科的发展打下坚实的物质基础，大大改善教师的科研条件，提高教师的科研与教学素质，有利于教师结合地区各种生态问题积极开展科学研究和成果转化，提高专业办学质量的同时，也促进了地区经济与生态协调发展。</w:t>
      </w:r>
    </w:p>
    <w:p>
      <w:pPr>
        <w:ind w:firstLine="562" w:firstLineChars="200"/>
        <w:rPr>
          <w:rFonts w:hint="eastAsia" w:eastAsia="仿宋_GB2312"/>
          <w:b/>
          <w:color w:val="000000"/>
          <w:sz w:val="28"/>
          <w:szCs w:val="28"/>
        </w:rPr>
      </w:pPr>
      <w:r>
        <w:rPr>
          <w:rFonts w:hint="eastAsia" w:eastAsia="仿宋_GB2312"/>
          <w:b/>
          <w:color w:val="000000"/>
          <w:sz w:val="28"/>
          <w:szCs w:val="28"/>
        </w:rPr>
        <w:t>（二）项目风险分析</w:t>
      </w:r>
    </w:p>
    <w:p>
      <w:pPr>
        <w:spacing w:line="580" w:lineRule="exact"/>
        <w:ind w:firstLine="560" w:firstLineChars="200"/>
        <w:rPr>
          <w:rFonts w:hint="eastAsia" w:ascii="仿宋_GB2312" w:eastAsia="仿宋_GB2312"/>
          <w:color w:val="000000"/>
          <w:sz w:val="28"/>
          <w:szCs w:val="28"/>
        </w:rPr>
      </w:pPr>
      <w:r>
        <w:rPr>
          <w:rFonts w:hint="eastAsia" w:ascii="仿宋_GB2312" w:eastAsia="仿宋_GB2312"/>
          <w:color w:val="000000"/>
          <w:sz w:val="28"/>
          <w:szCs w:val="28"/>
        </w:rPr>
        <w:t>该设备为生态环境分析检测仪器，购置该设备无大的风险。制约该设备效益发挥的潜在因素包括实验室安置、实验人员的准确操作等。</w:t>
      </w:r>
    </w:p>
    <w:p>
      <w:pPr>
        <w:spacing w:line="360" w:lineRule="auto"/>
        <w:ind w:firstLine="562" w:firstLineChars="200"/>
        <w:rPr>
          <w:rFonts w:eastAsia="仿宋_GB2312"/>
          <w:b/>
          <w:color w:val="000000"/>
          <w:sz w:val="28"/>
          <w:szCs w:val="28"/>
        </w:rPr>
      </w:pPr>
      <w:r>
        <w:rPr>
          <w:rFonts w:eastAsia="仿宋_GB2312"/>
          <w:b/>
          <w:color w:val="000000"/>
          <w:sz w:val="28"/>
          <w:szCs w:val="28"/>
        </w:rPr>
        <w:t>五、保障措施</w:t>
      </w:r>
    </w:p>
    <w:p>
      <w:pPr>
        <w:ind w:firstLine="562" w:firstLineChars="200"/>
        <w:rPr>
          <w:rFonts w:eastAsia="仿宋_GB2312"/>
          <w:b/>
          <w:color w:val="000000"/>
          <w:sz w:val="28"/>
          <w:szCs w:val="28"/>
        </w:rPr>
      </w:pPr>
      <w:r>
        <w:rPr>
          <w:rFonts w:eastAsia="仿宋_GB2312"/>
          <w:b/>
          <w:color w:val="000000"/>
          <w:sz w:val="28"/>
          <w:szCs w:val="28"/>
        </w:rPr>
        <w:t>（一）人员配备</w:t>
      </w:r>
    </w:p>
    <w:p>
      <w:pPr>
        <w:spacing w:line="580" w:lineRule="exact"/>
        <w:ind w:firstLine="560" w:firstLineChars="200"/>
        <w:rPr>
          <w:rFonts w:hint="eastAsia" w:ascii="仿宋_GB2312" w:eastAsia="仿宋_GB2312"/>
          <w:color w:val="000000"/>
          <w:sz w:val="28"/>
          <w:szCs w:val="28"/>
        </w:rPr>
      </w:pPr>
      <w:r>
        <w:rPr>
          <w:rFonts w:hint="eastAsia" w:ascii="仿宋_GB2312" w:eastAsia="仿宋_GB2312"/>
          <w:color w:val="000000"/>
          <w:sz w:val="28"/>
          <w:szCs w:val="28"/>
        </w:rPr>
        <w:t>项目建成之后，按照中央与地方共建实验室项目相关规章制度配备相关专门人员执行日常使用与维护管理。</w:t>
      </w:r>
    </w:p>
    <w:p>
      <w:pPr>
        <w:spacing w:line="580" w:lineRule="exact"/>
        <w:ind w:firstLine="560" w:firstLineChars="200"/>
        <w:rPr>
          <w:rFonts w:hint="eastAsia" w:ascii="仿宋_GB2312" w:eastAsia="仿宋_GB2312"/>
          <w:color w:val="000000"/>
          <w:sz w:val="28"/>
          <w:szCs w:val="28"/>
        </w:rPr>
      </w:pPr>
      <w:r>
        <w:rPr>
          <w:rFonts w:hint="eastAsia" w:ascii="仿宋_GB2312" w:eastAsia="仿宋_GB2312"/>
          <w:color w:val="000000"/>
          <w:sz w:val="28"/>
          <w:szCs w:val="28"/>
        </w:rPr>
        <w:t>1、指派业务素质、专业责任心能力强的教师担任本实验室主任及副主任，明确其管理职责。建立智能化的帐、卡、物管理维护与使用资料库。</w:t>
      </w:r>
    </w:p>
    <w:p>
      <w:pPr>
        <w:spacing w:line="580" w:lineRule="exact"/>
        <w:ind w:firstLine="560" w:firstLineChars="200"/>
        <w:rPr>
          <w:rFonts w:hint="eastAsia" w:ascii="仿宋_GB2312" w:eastAsia="仿宋_GB2312"/>
          <w:color w:val="000000"/>
          <w:sz w:val="28"/>
          <w:szCs w:val="28"/>
        </w:rPr>
      </w:pPr>
      <w:r>
        <w:rPr>
          <w:rFonts w:hint="eastAsia" w:ascii="仿宋_GB2312" w:eastAsia="仿宋_GB2312"/>
          <w:color w:val="000000"/>
          <w:sz w:val="28"/>
          <w:szCs w:val="28"/>
        </w:rPr>
        <w:t>2、定期对本实验室中从事日常的实验课教学管理的教师进行操作技术培训，按照学校已较为完善的仪器设备运行使用登记和监控管理制度，对重点仪器设备指派专人技术负责，发挥实验人员承担本基础实验室的日常管理、维护与使用的工作积极性，确保先进仪器设备对基础教学的支持和预期使用效益充分发挥。</w:t>
      </w:r>
    </w:p>
    <w:p>
      <w:pPr>
        <w:spacing w:line="580" w:lineRule="exact"/>
        <w:ind w:firstLine="560" w:firstLineChars="200"/>
        <w:rPr>
          <w:rFonts w:hint="eastAsia" w:ascii="仿宋_GB2312" w:eastAsia="仿宋_GB2312"/>
          <w:color w:val="000000"/>
          <w:sz w:val="28"/>
          <w:szCs w:val="28"/>
        </w:rPr>
      </w:pPr>
      <w:r>
        <w:rPr>
          <w:rFonts w:hint="eastAsia" w:ascii="仿宋_GB2312" w:eastAsia="仿宋_GB2312"/>
          <w:color w:val="000000"/>
          <w:sz w:val="28"/>
          <w:szCs w:val="28"/>
        </w:rPr>
        <w:t>3、作好本项目使用的各项统计分析工作，充分发挥该设备的教学资源共享效益。</w:t>
      </w:r>
    </w:p>
    <w:p>
      <w:pPr>
        <w:ind w:firstLine="562" w:firstLineChars="200"/>
        <w:rPr>
          <w:rFonts w:eastAsia="仿宋_GB2312"/>
          <w:b/>
          <w:color w:val="000000"/>
          <w:sz w:val="28"/>
          <w:szCs w:val="28"/>
        </w:rPr>
      </w:pPr>
      <w:r>
        <w:rPr>
          <w:rFonts w:eastAsia="仿宋_GB2312"/>
          <w:b/>
          <w:color w:val="000000"/>
          <w:sz w:val="28"/>
          <w:szCs w:val="28"/>
        </w:rPr>
        <w:t>（二）配套条件</w:t>
      </w:r>
    </w:p>
    <w:p>
      <w:pPr>
        <w:spacing w:line="580" w:lineRule="exact"/>
        <w:ind w:firstLine="560" w:firstLineChars="200"/>
        <w:rPr>
          <w:rFonts w:hint="eastAsia" w:ascii="仿宋_GB2312" w:eastAsia="仿宋_GB2312"/>
          <w:color w:val="000000"/>
          <w:sz w:val="28"/>
          <w:szCs w:val="28"/>
        </w:rPr>
      </w:pPr>
      <w:r>
        <w:rPr>
          <w:rFonts w:hint="eastAsia" w:ascii="仿宋_GB2312" w:eastAsia="仿宋_GB2312"/>
          <w:color w:val="000000"/>
          <w:sz w:val="28"/>
          <w:szCs w:val="28"/>
        </w:rPr>
        <w:t>用房保障：本实验室的用房在原有生态旅游重点实验室的基础上改造调整和扩充，以保证先进的仪器设备安装使用需要。根据实际投资规模所采购的仪器设备安置需要，计划新增实验用房面积约20 m2。</w:t>
      </w:r>
    </w:p>
    <w:p>
      <w:pPr>
        <w:spacing w:line="580" w:lineRule="exact"/>
        <w:ind w:firstLine="560" w:firstLineChars="200"/>
        <w:rPr>
          <w:rFonts w:hint="eastAsia" w:ascii="仿宋_GB2312" w:eastAsia="仿宋_GB2312"/>
          <w:color w:val="000000"/>
          <w:sz w:val="28"/>
          <w:szCs w:val="28"/>
        </w:rPr>
      </w:pPr>
      <w:r>
        <w:rPr>
          <w:rFonts w:hint="eastAsia" w:ascii="仿宋_GB2312" w:eastAsia="仿宋_GB2312"/>
          <w:color w:val="000000"/>
          <w:sz w:val="28"/>
          <w:szCs w:val="28"/>
        </w:rPr>
        <w:t>水电保障：本实验室主要需要稳定电力供应，我校已建有电力专线，只需在进一步的详细设计中对安排的各实验用房中电力布线按教学要求时仪器设备摆放位置进行改造。学校能保障本实验室各仪器设备的供水供电要求。</w:t>
      </w:r>
    </w:p>
    <w:p>
      <w:pPr>
        <w:spacing w:line="360" w:lineRule="auto"/>
        <w:ind w:firstLine="562" w:firstLineChars="200"/>
        <w:rPr>
          <w:rFonts w:eastAsia="仿宋_GB2312"/>
          <w:b/>
          <w:color w:val="000000"/>
          <w:sz w:val="28"/>
          <w:szCs w:val="28"/>
        </w:rPr>
      </w:pPr>
      <w:r>
        <w:rPr>
          <w:rFonts w:eastAsia="仿宋_GB2312"/>
          <w:b/>
          <w:color w:val="000000"/>
          <w:sz w:val="28"/>
          <w:szCs w:val="28"/>
        </w:rPr>
        <w:t>（三） 运行经费</w:t>
      </w:r>
    </w:p>
    <w:p>
      <w:pPr>
        <w:spacing w:line="580" w:lineRule="exact"/>
        <w:ind w:firstLine="560" w:firstLineChars="200"/>
        <w:rPr>
          <w:rFonts w:hint="eastAsia" w:ascii="仿宋_GB2312" w:eastAsia="仿宋_GB2312"/>
          <w:color w:val="000000"/>
          <w:sz w:val="28"/>
          <w:szCs w:val="28"/>
        </w:rPr>
      </w:pPr>
      <w:r>
        <w:rPr>
          <w:rFonts w:hint="eastAsia" w:ascii="仿宋_GB2312" w:eastAsia="仿宋_GB2312"/>
          <w:color w:val="000000"/>
          <w:sz w:val="28"/>
          <w:szCs w:val="28"/>
        </w:rPr>
        <w:t>该设备每年所需耗材主要为水电消耗、仪器维护费。预计每年所需维护经费（含耗材、更换配件和维修）为1万元。</w:t>
      </w:r>
    </w:p>
    <w:p>
      <w:pPr>
        <w:spacing w:line="580" w:lineRule="exact"/>
        <w:ind w:firstLine="560" w:firstLineChars="200"/>
        <w:rPr>
          <w:rFonts w:hint="eastAsia" w:ascii="仿宋_GB2312" w:eastAsia="仿宋_GB2312"/>
          <w:color w:val="000000"/>
          <w:sz w:val="28"/>
          <w:szCs w:val="28"/>
        </w:rPr>
      </w:pPr>
      <w:r>
        <w:rPr>
          <w:rFonts w:hint="eastAsia" w:ascii="仿宋_GB2312" w:eastAsia="仿宋_GB2312"/>
          <w:color w:val="000000"/>
          <w:sz w:val="28"/>
          <w:szCs w:val="28"/>
        </w:rPr>
        <w:t>除中央财政专款外，学校将自筹部分资金，由院领导小组与学校协商筹措资金用于该设备的维护费。</w:t>
      </w:r>
    </w:p>
    <w:p>
      <w:pPr>
        <w:spacing w:line="360" w:lineRule="auto"/>
        <w:ind w:firstLine="562" w:firstLineChars="200"/>
        <w:rPr>
          <w:rFonts w:eastAsia="仿宋_GB2312"/>
          <w:b/>
          <w:color w:val="000000"/>
          <w:sz w:val="28"/>
          <w:szCs w:val="28"/>
        </w:rPr>
      </w:pPr>
      <w:r>
        <w:rPr>
          <w:rFonts w:eastAsia="仿宋_GB2312"/>
          <w:b/>
          <w:color w:val="000000"/>
          <w:sz w:val="28"/>
          <w:szCs w:val="28"/>
        </w:rPr>
        <w:t>（四）管理措施</w:t>
      </w:r>
    </w:p>
    <w:p>
      <w:pPr>
        <w:spacing w:line="580" w:lineRule="exact"/>
        <w:ind w:firstLine="560" w:firstLineChars="200"/>
        <w:rPr>
          <w:rFonts w:hint="eastAsia" w:ascii="仿宋_GB2312" w:eastAsia="仿宋_GB2312"/>
          <w:color w:val="000000"/>
          <w:sz w:val="28"/>
          <w:szCs w:val="28"/>
        </w:rPr>
      </w:pPr>
      <w:r>
        <w:rPr>
          <w:rFonts w:hint="eastAsia" w:ascii="仿宋_GB2312" w:eastAsia="仿宋_GB2312"/>
          <w:color w:val="000000"/>
          <w:sz w:val="28"/>
          <w:szCs w:val="28"/>
        </w:rPr>
        <w:t>按照吉首大学相关大型设备的建设与管理办法，制定该设备的管理制度体系。</w:t>
      </w:r>
    </w:p>
    <w:p>
      <w:pPr>
        <w:spacing w:line="580" w:lineRule="exact"/>
        <w:ind w:firstLine="560" w:firstLineChars="200"/>
        <w:rPr>
          <w:rFonts w:hint="eastAsia" w:ascii="仿宋_GB2312" w:eastAsia="仿宋_GB2312"/>
          <w:color w:val="000000"/>
          <w:sz w:val="28"/>
          <w:szCs w:val="28"/>
        </w:rPr>
      </w:pPr>
      <w:r>
        <w:rPr>
          <w:rFonts w:hint="eastAsia" w:ascii="仿宋_GB2312" w:eastAsia="仿宋_GB2312"/>
          <w:color w:val="000000"/>
          <w:sz w:val="28"/>
          <w:szCs w:val="28"/>
        </w:rPr>
        <w:t>其中设备管理包括《连续流动分析仪使用管理办法》、《连续流动分析仪设备、实验器材赔偿办法》等；</w:t>
      </w:r>
    </w:p>
    <w:p>
      <w:pPr>
        <w:spacing w:line="580" w:lineRule="exact"/>
        <w:ind w:firstLine="560" w:firstLineChars="200"/>
        <w:rPr>
          <w:rFonts w:hint="eastAsia" w:ascii="仿宋_GB2312" w:eastAsia="仿宋_GB2312"/>
          <w:color w:val="000000"/>
          <w:sz w:val="28"/>
          <w:szCs w:val="28"/>
        </w:rPr>
      </w:pPr>
      <w:r>
        <w:rPr>
          <w:rFonts w:hint="eastAsia" w:ascii="仿宋_GB2312" w:eastAsia="仿宋_GB2312"/>
          <w:color w:val="000000"/>
          <w:sz w:val="28"/>
          <w:szCs w:val="28"/>
        </w:rPr>
        <w:t>人员管理包括《实验室管理人员岗位职责》、《实验室工作人员管理办法》、《连续流动分析仪研究人员职责》等；</w:t>
      </w:r>
    </w:p>
    <w:p>
      <w:pPr>
        <w:spacing w:line="580" w:lineRule="exact"/>
        <w:ind w:firstLine="560" w:firstLineChars="200"/>
        <w:rPr>
          <w:rFonts w:hint="eastAsia" w:ascii="仿宋_GB2312" w:eastAsia="仿宋_GB2312"/>
          <w:color w:val="000000"/>
          <w:sz w:val="28"/>
          <w:szCs w:val="28"/>
        </w:rPr>
      </w:pPr>
      <w:r>
        <w:rPr>
          <w:rFonts w:hint="eastAsia" w:ascii="仿宋_GB2312" w:eastAsia="仿宋_GB2312"/>
          <w:color w:val="000000"/>
          <w:sz w:val="28"/>
          <w:szCs w:val="28"/>
        </w:rPr>
        <w:t>环境及安全管理包括《连续流动分析仪安全规则》、《连续流动分析仪消防管理制度》、《连续流动分析仪卫生管理规定》等。</w:t>
      </w:r>
    </w:p>
    <w:p>
      <w:pPr>
        <w:spacing w:line="580" w:lineRule="exact"/>
        <w:ind w:firstLine="560" w:firstLineChars="200"/>
        <w:rPr>
          <w:rFonts w:hint="eastAsia" w:ascii="仿宋_GB2312" w:eastAsia="仿宋_GB2312"/>
          <w:color w:val="000000"/>
          <w:sz w:val="28"/>
          <w:szCs w:val="28"/>
        </w:rPr>
      </w:pPr>
      <w:r>
        <w:rPr>
          <w:rFonts w:hint="eastAsia" w:ascii="仿宋_GB2312" w:eastAsia="仿宋_GB2312"/>
          <w:color w:val="000000"/>
          <w:sz w:val="28"/>
          <w:szCs w:val="28"/>
        </w:rPr>
        <w:t>通过严格执行相关管理办法，实现对该设备的有效管理，使之正常运行、发挥最大效益。</w:t>
      </w:r>
    </w:p>
    <w:p>
      <w:pPr>
        <w:spacing w:line="360" w:lineRule="auto"/>
        <w:ind w:firstLine="562" w:firstLineChars="200"/>
        <w:rPr>
          <w:rFonts w:eastAsia="仿宋_GB2312"/>
          <w:b/>
          <w:color w:val="000000"/>
          <w:sz w:val="28"/>
          <w:szCs w:val="28"/>
        </w:rPr>
      </w:pPr>
      <w:r>
        <w:rPr>
          <w:rFonts w:eastAsia="仿宋_GB2312"/>
          <w:b/>
          <w:color w:val="000000"/>
          <w:sz w:val="28"/>
          <w:szCs w:val="28"/>
        </w:rPr>
        <w:t>六、设备校内共享方案</w:t>
      </w:r>
    </w:p>
    <w:p>
      <w:pPr>
        <w:spacing w:line="580" w:lineRule="exact"/>
        <w:ind w:firstLine="560" w:firstLineChars="200"/>
        <w:rPr>
          <w:rFonts w:hint="eastAsia" w:ascii="仿宋_GB2312" w:eastAsia="仿宋_GB2312"/>
          <w:color w:val="000000"/>
          <w:sz w:val="28"/>
          <w:szCs w:val="28"/>
        </w:rPr>
      </w:pPr>
      <w:r>
        <w:rPr>
          <w:rFonts w:hint="eastAsia" w:ascii="仿宋_GB2312" w:eastAsia="仿宋_GB2312"/>
          <w:color w:val="000000"/>
          <w:sz w:val="28"/>
          <w:szCs w:val="28"/>
        </w:rPr>
        <w:t>通过开展多种形式的学术交流、科研与人才培养合作等方式，进一步加大该设备的开放力度，提高大型设备的利用率。</w:t>
      </w:r>
    </w:p>
    <w:p>
      <w:pPr>
        <w:spacing w:line="580" w:lineRule="exact"/>
        <w:ind w:firstLine="560" w:firstLineChars="200"/>
        <w:rPr>
          <w:rFonts w:hint="eastAsia" w:ascii="仿宋_GB2312" w:eastAsia="仿宋_GB2312"/>
          <w:color w:val="000000"/>
          <w:sz w:val="28"/>
          <w:szCs w:val="28"/>
        </w:rPr>
      </w:pPr>
      <w:r>
        <w:rPr>
          <w:rFonts w:hint="eastAsia" w:ascii="仿宋_GB2312" w:eastAsia="仿宋_GB2312"/>
          <w:color w:val="000000"/>
          <w:sz w:val="28"/>
          <w:szCs w:val="28"/>
        </w:rPr>
        <w:t>主要方式为：（1）吸纳校内其他教学科研成员承担相关课题，完成与该设备有关的科研任务；（2）为校内其他教师从事有关科研提供条件支持；（3）利用该设备为相关专业本科生实践教学、毕业论文提供训练，指导学生科技创新；（4）相关研究人员定期召开学术报告会议，交流学术成果，介绍该设备的应用领域。</w:t>
      </w:r>
    </w:p>
    <w:p>
      <w:pPr>
        <w:spacing w:line="360" w:lineRule="auto"/>
        <w:ind w:firstLine="562" w:firstLineChars="200"/>
        <w:rPr>
          <w:rFonts w:eastAsia="仿宋_GB2312"/>
          <w:b/>
          <w:color w:val="000000"/>
          <w:sz w:val="28"/>
          <w:szCs w:val="28"/>
        </w:rPr>
      </w:pPr>
      <w:r>
        <w:rPr>
          <w:rFonts w:eastAsia="仿宋_GB2312"/>
          <w:b/>
          <w:color w:val="000000"/>
          <w:sz w:val="28"/>
          <w:szCs w:val="28"/>
        </w:rPr>
        <w:t>七、项目建设单位论证专家组成员</w:t>
      </w:r>
    </w:p>
    <w:tbl>
      <w:tblPr>
        <w:tblStyle w:val="5"/>
        <w:tblpPr w:leftFromText="180" w:rightFromText="180" w:vertAnchor="text" w:horzAnchor="page" w:tblpX="2455" w:tblpY="630"/>
        <w:tblOverlap w:val="never"/>
        <w:tblW w:w="787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25"/>
        <w:gridCol w:w="1498"/>
        <w:gridCol w:w="1560"/>
        <w:gridCol w:w="1909"/>
        <w:gridCol w:w="18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5" w:hRule="atLeast"/>
        </w:trPr>
        <w:tc>
          <w:tcPr>
            <w:tcW w:w="1025" w:type="dxa"/>
            <w:vAlign w:val="center"/>
          </w:tcPr>
          <w:p>
            <w:pPr>
              <w:spacing w:line="240" w:lineRule="auto"/>
              <w:jc w:val="center"/>
              <w:rPr>
                <w:rFonts w:hint="eastAsia" w:ascii="仿宋_GB2312" w:eastAsia="仿宋_GB2312"/>
                <w:color w:val="000000"/>
                <w:sz w:val="24"/>
                <w:szCs w:val="24"/>
              </w:rPr>
            </w:pPr>
            <w:r>
              <w:rPr>
                <w:rFonts w:hint="eastAsia" w:ascii="仿宋_GB2312" w:eastAsia="仿宋_GB2312"/>
                <w:color w:val="000000"/>
                <w:sz w:val="24"/>
                <w:szCs w:val="24"/>
              </w:rPr>
              <w:t>序号</w:t>
            </w:r>
          </w:p>
        </w:tc>
        <w:tc>
          <w:tcPr>
            <w:tcW w:w="1498" w:type="dxa"/>
            <w:vAlign w:val="center"/>
          </w:tcPr>
          <w:p>
            <w:pPr>
              <w:spacing w:line="240" w:lineRule="auto"/>
              <w:jc w:val="center"/>
              <w:rPr>
                <w:rFonts w:hint="eastAsia" w:ascii="仿宋_GB2312" w:eastAsia="仿宋_GB2312"/>
                <w:color w:val="000000"/>
                <w:sz w:val="24"/>
                <w:szCs w:val="24"/>
              </w:rPr>
            </w:pPr>
            <w:r>
              <w:rPr>
                <w:rFonts w:hint="eastAsia" w:ascii="仿宋_GB2312" w:eastAsia="仿宋_GB2312"/>
                <w:color w:val="000000"/>
                <w:sz w:val="24"/>
                <w:szCs w:val="24"/>
              </w:rPr>
              <w:t>姓名</w:t>
            </w:r>
          </w:p>
        </w:tc>
        <w:tc>
          <w:tcPr>
            <w:tcW w:w="1560" w:type="dxa"/>
            <w:vAlign w:val="center"/>
          </w:tcPr>
          <w:p>
            <w:pPr>
              <w:spacing w:line="240" w:lineRule="auto"/>
              <w:jc w:val="center"/>
              <w:rPr>
                <w:rFonts w:hint="eastAsia" w:ascii="仿宋_GB2312" w:eastAsia="仿宋_GB2312"/>
                <w:color w:val="000000"/>
                <w:sz w:val="24"/>
                <w:szCs w:val="24"/>
              </w:rPr>
            </w:pPr>
            <w:r>
              <w:rPr>
                <w:rFonts w:hint="eastAsia" w:ascii="仿宋_GB2312" w:eastAsia="仿宋_GB2312"/>
                <w:color w:val="000000"/>
                <w:sz w:val="24"/>
                <w:szCs w:val="24"/>
              </w:rPr>
              <w:t>专业</w:t>
            </w:r>
          </w:p>
        </w:tc>
        <w:tc>
          <w:tcPr>
            <w:tcW w:w="1909" w:type="dxa"/>
            <w:vAlign w:val="center"/>
          </w:tcPr>
          <w:p>
            <w:pPr>
              <w:spacing w:line="240" w:lineRule="auto"/>
              <w:jc w:val="center"/>
              <w:rPr>
                <w:rFonts w:hint="eastAsia" w:ascii="仿宋_GB2312" w:eastAsia="仿宋_GB2312"/>
                <w:color w:val="000000"/>
                <w:sz w:val="24"/>
                <w:szCs w:val="24"/>
              </w:rPr>
            </w:pPr>
            <w:r>
              <w:rPr>
                <w:rFonts w:hint="eastAsia" w:ascii="仿宋_GB2312" w:eastAsia="仿宋_GB2312"/>
                <w:color w:val="000000"/>
                <w:sz w:val="24"/>
                <w:szCs w:val="24"/>
              </w:rPr>
              <w:t>职称/学位</w:t>
            </w:r>
          </w:p>
        </w:tc>
        <w:tc>
          <w:tcPr>
            <w:tcW w:w="1884" w:type="dxa"/>
            <w:vAlign w:val="center"/>
          </w:tcPr>
          <w:p>
            <w:pPr>
              <w:spacing w:line="240" w:lineRule="auto"/>
              <w:jc w:val="center"/>
              <w:rPr>
                <w:rFonts w:hint="eastAsia" w:ascii="仿宋_GB2312" w:eastAsia="仿宋_GB2312"/>
                <w:color w:val="000000"/>
                <w:sz w:val="24"/>
                <w:szCs w:val="24"/>
              </w:rPr>
            </w:pPr>
            <w:r>
              <w:rPr>
                <w:rFonts w:hint="eastAsia" w:ascii="仿宋_GB2312" w:eastAsia="仿宋_GB2312"/>
                <w:color w:val="000000"/>
                <w:sz w:val="24"/>
                <w:szCs w:val="24"/>
              </w:rPr>
              <w:t>专家签名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5" w:hRule="atLeast"/>
        </w:trPr>
        <w:tc>
          <w:tcPr>
            <w:tcW w:w="1025" w:type="dxa"/>
            <w:vAlign w:val="center"/>
          </w:tcPr>
          <w:p>
            <w:pPr>
              <w:spacing w:line="240" w:lineRule="auto"/>
              <w:jc w:val="center"/>
              <w:rPr>
                <w:rFonts w:hint="eastAsia" w:ascii="仿宋_GB2312" w:eastAsia="仿宋_GB2312"/>
                <w:color w:val="000000"/>
                <w:sz w:val="24"/>
                <w:szCs w:val="24"/>
              </w:rPr>
            </w:pPr>
            <w:r>
              <w:rPr>
                <w:rFonts w:hint="eastAsia" w:ascii="仿宋_GB2312" w:eastAsia="仿宋_GB2312"/>
                <w:color w:val="000000"/>
                <w:sz w:val="24"/>
                <w:szCs w:val="24"/>
              </w:rPr>
              <w:t>1</w:t>
            </w:r>
          </w:p>
        </w:tc>
        <w:tc>
          <w:tcPr>
            <w:tcW w:w="1498" w:type="dxa"/>
            <w:vAlign w:val="center"/>
          </w:tcPr>
          <w:p>
            <w:pPr>
              <w:spacing w:line="240" w:lineRule="auto"/>
              <w:jc w:val="center"/>
              <w:rPr>
                <w:rFonts w:hint="eastAsia" w:ascii="仿宋_GB2312" w:eastAsia="仿宋_GB2312"/>
                <w:color w:val="000000"/>
                <w:sz w:val="24"/>
                <w:szCs w:val="24"/>
                <w:lang w:eastAsia="zh-CN"/>
              </w:rPr>
            </w:pPr>
            <w:r>
              <w:rPr>
                <w:rFonts w:hint="eastAsia" w:ascii="仿宋_GB2312" w:eastAsia="仿宋_GB2312"/>
                <w:color w:val="000000"/>
                <w:sz w:val="24"/>
                <w:szCs w:val="24"/>
                <w:lang w:eastAsia="zh-CN"/>
              </w:rPr>
              <w:t>向昌国</w:t>
            </w:r>
          </w:p>
        </w:tc>
        <w:tc>
          <w:tcPr>
            <w:tcW w:w="1560" w:type="dxa"/>
            <w:vAlign w:val="center"/>
          </w:tcPr>
          <w:p>
            <w:pPr>
              <w:spacing w:line="240" w:lineRule="auto"/>
              <w:jc w:val="center"/>
              <w:rPr>
                <w:rFonts w:hint="eastAsia" w:ascii="仿宋_GB2312" w:eastAsia="仿宋_GB2312"/>
                <w:color w:val="000000"/>
                <w:sz w:val="24"/>
                <w:szCs w:val="24"/>
                <w:lang w:eastAsia="zh-CN"/>
              </w:rPr>
            </w:pPr>
            <w:r>
              <w:rPr>
                <w:rFonts w:hint="eastAsia" w:ascii="仿宋_GB2312" w:eastAsia="仿宋_GB2312"/>
                <w:color w:val="000000"/>
                <w:sz w:val="24"/>
                <w:szCs w:val="24"/>
                <w:lang w:eastAsia="zh-CN"/>
              </w:rPr>
              <w:t>生态旅游</w:t>
            </w:r>
          </w:p>
        </w:tc>
        <w:tc>
          <w:tcPr>
            <w:tcW w:w="1909" w:type="dxa"/>
            <w:vAlign w:val="center"/>
          </w:tcPr>
          <w:p>
            <w:pPr>
              <w:spacing w:line="240" w:lineRule="auto"/>
              <w:jc w:val="center"/>
              <w:rPr>
                <w:rFonts w:hint="eastAsia" w:ascii="仿宋_GB2312" w:eastAsia="仿宋_GB2312"/>
                <w:color w:val="000000"/>
                <w:sz w:val="24"/>
                <w:szCs w:val="24"/>
                <w:lang w:eastAsia="zh-CN"/>
              </w:rPr>
            </w:pPr>
            <w:r>
              <w:rPr>
                <w:rFonts w:hint="eastAsia" w:ascii="仿宋_GB2312" w:eastAsia="仿宋_GB2312"/>
                <w:color w:val="000000"/>
                <w:sz w:val="24"/>
                <w:szCs w:val="24"/>
                <w:lang w:eastAsia="zh-CN"/>
              </w:rPr>
              <w:t>教授</w:t>
            </w:r>
            <w:r>
              <w:rPr>
                <w:rFonts w:hint="eastAsia" w:ascii="仿宋_GB2312" w:eastAsia="仿宋_GB2312"/>
                <w:color w:val="000000"/>
                <w:sz w:val="24"/>
                <w:szCs w:val="24"/>
                <w:lang w:val="en-US" w:eastAsia="zh-CN"/>
              </w:rPr>
              <w:t>/学士</w:t>
            </w:r>
          </w:p>
        </w:tc>
        <w:tc>
          <w:tcPr>
            <w:tcW w:w="1884" w:type="dxa"/>
            <w:vAlign w:val="center"/>
          </w:tcPr>
          <w:p>
            <w:pPr>
              <w:spacing w:line="240" w:lineRule="auto"/>
              <w:ind w:firstLine="480" w:firstLineChars="200"/>
              <w:jc w:val="center"/>
              <w:rPr>
                <w:rFonts w:hint="eastAsia" w:ascii="仿宋_GB2312" w:eastAsia="仿宋_GB2312"/>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5" w:hRule="atLeast"/>
        </w:trPr>
        <w:tc>
          <w:tcPr>
            <w:tcW w:w="1025" w:type="dxa"/>
            <w:vAlign w:val="center"/>
          </w:tcPr>
          <w:p>
            <w:pPr>
              <w:spacing w:line="240" w:lineRule="auto"/>
              <w:jc w:val="center"/>
              <w:rPr>
                <w:rFonts w:hint="eastAsia" w:ascii="仿宋_GB2312" w:eastAsia="仿宋_GB2312"/>
                <w:color w:val="000000"/>
                <w:sz w:val="24"/>
                <w:szCs w:val="24"/>
              </w:rPr>
            </w:pPr>
            <w:r>
              <w:rPr>
                <w:rFonts w:hint="eastAsia" w:ascii="仿宋_GB2312" w:eastAsia="仿宋_GB2312"/>
                <w:color w:val="000000"/>
                <w:sz w:val="24"/>
                <w:szCs w:val="24"/>
              </w:rPr>
              <w:t>2</w:t>
            </w:r>
          </w:p>
        </w:tc>
        <w:tc>
          <w:tcPr>
            <w:tcW w:w="1498" w:type="dxa"/>
            <w:vAlign w:val="center"/>
          </w:tcPr>
          <w:p>
            <w:pPr>
              <w:spacing w:line="240" w:lineRule="auto"/>
              <w:jc w:val="center"/>
              <w:rPr>
                <w:rFonts w:hint="eastAsia" w:ascii="仿宋_GB2312" w:eastAsia="仿宋_GB2312"/>
                <w:color w:val="000000"/>
                <w:sz w:val="24"/>
                <w:szCs w:val="24"/>
                <w:lang w:eastAsia="zh-CN"/>
              </w:rPr>
            </w:pPr>
            <w:r>
              <w:rPr>
                <w:rFonts w:hint="eastAsia" w:ascii="仿宋_GB2312" w:eastAsia="仿宋_GB2312"/>
                <w:color w:val="000000"/>
                <w:sz w:val="24"/>
                <w:szCs w:val="24"/>
                <w:lang w:eastAsia="zh-CN"/>
              </w:rPr>
              <w:t>鲁明勇</w:t>
            </w:r>
          </w:p>
        </w:tc>
        <w:tc>
          <w:tcPr>
            <w:tcW w:w="1560" w:type="dxa"/>
            <w:vAlign w:val="center"/>
          </w:tcPr>
          <w:p>
            <w:pPr>
              <w:spacing w:line="240" w:lineRule="auto"/>
              <w:jc w:val="center"/>
              <w:rPr>
                <w:rFonts w:hint="eastAsia" w:ascii="仿宋_GB2312" w:eastAsia="仿宋_GB2312"/>
                <w:color w:val="000000"/>
                <w:sz w:val="24"/>
                <w:szCs w:val="24"/>
              </w:rPr>
            </w:pPr>
            <w:r>
              <w:rPr>
                <w:rFonts w:hint="eastAsia" w:ascii="仿宋_GB2312" w:eastAsia="仿宋_GB2312"/>
                <w:color w:val="000000"/>
                <w:sz w:val="24"/>
                <w:szCs w:val="24"/>
                <w:lang w:eastAsia="zh-CN"/>
              </w:rPr>
              <w:t>生态旅游</w:t>
            </w:r>
          </w:p>
        </w:tc>
        <w:tc>
          <w:tcPr>
            <w:tcW w:w="1909" w:type="dxa"/>
            <w:vAlign w:val="center"/>
          </w:tcPr>
          <w:p>
            <w:pPr>
              <w:spacing w:line="240" w:lineRule="auto"/>
              <w:jc w:val="center"/>
              <w:rPr>
                <w:rFonts w:hint="eastAsia" w:ascii="仿宋_GB2312" w:eastAsia="仿宋_GB2312"/>
                <w:color w:val="000000"/>
                <w:sz w:val="24"/>
                <w:szCs w:val="24"/>
                <w:lang w:eastAsia="zh-CN"/>
              </w:rPr>
            </w:pPr>
            <w:r>
              <w:rPr>
                <w:rFonts w:hint="eastAsia" w:ascii="仿宋_GB2312" w:eastAsia="仿宋_GB2312"/>
                <w:color w:val="000000"/>
                <w:sz w:val="24"/>
                <w:szCs w:val="24"/>
                <w:lang w:eastAsia="zh-CN"/>
              </w:rPr>
              <w:t>教授</w:t>
            </w:r>
            <w:r>
              <w:rPr>
                <w:rFonts w:hint="eastAsia" w:ascii="仿宋_GB2312" w:eastAsia="仿宋_GB2312"/>
                <w:color w:val="000000"/>
                <w:sz w:val="24"/>
                <w:szCs w:val="24"/>
                <w:lang w:val="en-US" w:eastAsia="zh-CN"/>
              </w:rPr>
              <w:t>/博士</w:t>
            </w:r>
          </w:p>
        </w:tc>
        <w:tc>
          <w:tcPr>
            <w:tcW w:w="1884" w:type="dxa"/>
            <w:vAlign w:val="center"/>
          </w:tcPr>
          <w:p>
            <w:pPr>
              <w:spacing w:line="240" w:lineRule="auto"/>
              <w:ind w:firstLine="480" w:firstLineChars="200"/>
              <w:jc w:val="center"/>
              <w:rPr>
                <w:rFonts w:hint="eastAsia" w:ascii="仿宋_GB2312" w:eastAsia="仿宋_GB2312"/>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5" w:hRule="atLeast"/>
        </w:trPr>
        <w:tc>
          <w:tcPr>
            <w:tcW w:w="1025" w:type="dxa"/>
            <w:vAlign w:val="center"/>
          </w:tcPr>
          <w:p>
            <w:pPr>
              <w:spacing w:line="240" w:lineRule="auto"/>
              <w:jc w:val="center"/>
              <w:rPr>
                <w:rFonts w:hint="eastAsia" w:ascii="仿宋_GB2312" w:eastAsia="仿宋_GB2312"/>
                <w:color w:val="000000"/>
                <w:sz w:val="24"/>
                <w:szCs w:val="24"/>
              </w:rPr>
            </w:pPr>
            <w:r>
              <w:rPr>
                <w:rFonts w:hint="eastAsia" w:ascii="仿宋_GB2312" w:eastAsia="仿宋_GB2312"/>
                <w:color w:val="000000"/>
                <w:sz w:val="24"/>
                <w:szCs w:val="24"/>
              </w:rPr>
              <w:t>3</w:t>
            </w:r>
          </w:p>
        </w:tc>
        <w:tc>
          <w:tcPr>
            <w:tcW w:w="1498" w:type="dxa"/>
            <w:vAlign w:val="center"/>
          </w:tcPr>
          <w:p>
            <w:pPr>
              <w:spacing w:line="240" w:lineRule="auto"/>
              <w:jc w:val="center"/>
              <w:rPr>
                <w:rFonts w:hint="eastAsia" w:ascii="仿宋_GB2312" w:eastAsia="仿宋_GB2312"/>
                <w:color w:val="000000"/>
                <w:sz w:val="24"/>
                <w:szCs w:val="24"/>
                <w:lang w:val="en-US" w:eastAsia="zh-CN"/>
              </w:rPr>
            </w:pPr>
            <w:r>
              <w:rPr>
                <w:rFonts w:hint="eastAsia" w:ascii="仿宋_GB2312" w:eastAsia="仿宋_GB2312"/>
                <w:color w:val="000000"/>
                <w:sz w:val="24"/>
                <w:szCs w:val="24"/>
                <w:lang w:val="en-US" w:eastAsia="zh-CN"/>
              </w:rPr>
              <w:t>姚小云</w:t>
            </w:r>
          </w:p>
        </w:tc>
        <w:tc>
          <w:tcPr>
            <w:tcW w:w="1560" w:type="dxa"/>
            <w:vAlign w:val="center"/>
          </w:tcPr>
          <w:p>
            <w:pPr>
              <w:spacing w:line="240" w:lineRule="auto"/>
              <w:jc w:val="center"/>
              <w:rPr>
                <w:rFonts w:hint="eastAsia" w:ascii="仿宋_GB2312" w:eastAsia="仿宋_GB2312"/>
                <w:color w:val="000000"/>
                <w:sz w:val="24"/>
                <w:szCs w:val="24"/>
              </w:rPr>
            </w:pPr>
            <w:r>
              <w:rPr>
                <w:rFonts w:hint="eastAsia" w:ascii="仿宋_GB2312" w:eastAsia="仿宋_GB2312"/>
                <w:color w:val="000000"/>
                <w:sz w:val="24"/>
                <w:szCs w:val="24"/>
                <w:lang w:eastAsia="zh-CN"/>
              </w:rPr>
              <w:t>生态旅游</w:t>
            </w:r>
          </w:p>
        </w:tc>
        <w:tc>
          <w:tcPr>
            <w:tcW w:w="1909" w:type="dxa"/>
            <w:vAlign w:val="center"/>
          </w:tcPr>
          <w:p>
            <w:pPr>
              <w:spacing w:line="240" w:lineRule="auto"/>
              <w:jc w:val="center"/>
              <w:rPr>
                <w:rFonts w:hint="eastAsia" w:ascii="仿宋_GB2312" w:eastAsia="仿宋_GB2312"/>
                <w:color w:val="000000"/>
                <w:sz w:val="24"/>
                <w:szCs w:val="24"/>
              </w:rPr>
            </w:pPr>
            <w:r>
              <w:rPr>
                <w:rFonts w:hint="eastAsia" w:ascii="仿宋_GB2312" w:eastAsia="仿宋_GB2312"/>
                <w:color w:val="000000"/>
                <w:sz w:val="24"/>
                <w:szCs w:val="24"/>
                <w:lang w:eastAsia="zh-CN"/>
              </w:rPr>
              <w:t>副教授</w:t>
            </w:r>
            <w:r>
              <w:rPr>
                <w:rFonts w:hint="eastAsia" w:ascii="仿宋_GB2312" w:eastAsia="仿宋_GB2312"/>
                <w:color w:val="000000"/>
                <w:sz w:val="24"/>
                <w:szCs w:val="24"/>
                <w:lang w:val="en-US" w:eastAsia="zh-CN"/>
              </w:rPr>
              <w:t>/硕士</w:t>
            </w:r>
          </w:p>
        </w:tc>
        <w:tc>
          <w:tcPr>
            <w:tcW w:w="1884" w:type="dxa"/>
            <w:vAlign w:val="center"/>
          </w:tcPr>
          <w:p>
            <w:pPr>
              <w:spacing w:line="240" w:lineRule="auto"/>
              <w:ind w:firstLine="480" w:firstLineChars="200"/>
              <w:jc w:val="center"/>
              <w:rPr>
                <w:rFonts w:hint="eastAsia" w:ascii="仿宋_GB2312" w:eastAsia="仿宋_GB2312"/>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5" w:hRule="atLeast"/>
        </w:trPr>
        <w:tc>
          <w:tcPr>
            <w:tcW w:w="1025" w:type="dxa"/>
            <w:vAlign w:val="center"/>
          </w:tcPr>
          <w:p>
            <w:pPr>
              <w:spacing w:line="240" w:lineRule="auto"/>
              <w:jc w:val="center"/>
              <w:rPr>
                <w:rFonts w:hint="eastAsia" w:ascii="仿宋_GB2312" w:eastAsia="仿宋_GB2312"/>
                <w:color w:val="000000"/>
                <w:sz w:val="24"/>
                <w:szCs w:val="24"/>
              </w:rPr>
            </w:pPr>
            <w:r>
              <w:rPr>
                <w:rFonts w:hint="eastAsia" w:ascii="仿宋_GB2312" w:eastAsia="仿宋_GB2312"/>
                <w:color w:val="000000"/>
                <w:sz w:val="24"/>
                <w:szCs w:val="24"/>
              </w:rPr>
              <w:t>4</w:t>
            </w:r>
          </w:p>
        </w:tc>
        <w:tc>
          <w:tcPr>
            <w:tcW w:w="1498" w:type="dxa"/>
            <w:vAlign w:val="center"/>
          </w:tcPr>
          <w:p>
            <w:pPr>
              <w:spacing w:line="240" w:lineRule="auto"/>
              <w:jc w:val="center"/>
              <w:rPr>
                <w:rFonts w:hint="eastAsia" w:ascii="仿宋_GB2312" w:eastAsia="仿宋_GB2312"/>
                <w:color w:val="000000"/>
                <w:sz w:val="24"/>
                <w:szCs w:val="24"/>
                <w:lang w:eastAsia="zh-CN"/>
              </w:rPr>
            </w:pPr>
            <w:r>
              <w:rPr>
                <w:rFonts w:hint="eastAsia" w:ascii="仿宋_GB2312" w:eastAsia="仿宋_GB2312"/>
                <w:color w:val="000000"/>
                <w:sz w:val="24"/>
                <w:szCs w:val="24"/>
                <w:lang w:eastAsia="zh-CN"/>
              </w:rPr>
              <w:t>董坚峰</w:t>
            </w:r>
          </w:p>
        </w:tc>
        <w:tc>
          <w:tcPr>
            <w:tcW w:w="1560" w:type="dxa"/>
            <w:vAlign w:val="center"/>
          </w:tcPr>
          <w:p>
            <w:pPr>
              <w:spacing w:line="240" w:lineRule="auto"/>
              <w:jc w:val="center"/>
              <w:rPr>
                <w:rFonts w:hint="eastAsia" w:ascii="仿宋_GB2312" w:eastAsia="仿宋_GB2312"/>
                <w:color w:val="000000"/>
                <w:sz w:val="24"/>
                <w:szCs w:val="24"/>
                <w:lang w:eastAsia="zh-CN"/>
              </w:rPr>
            </w:pPr>
            <w:r>
              <w:rPr>
                <w:rFonts w:hint="eastAsia" w:ascii="仿宋_GB2312" w:eastAsia="仿宋_GB2312"/>
                <w:color w:val="000000"/>
                <w:sz w:val="24"/>
                <w:szCs w:val="24"/>
                <w:lang w:eastAsia="zh-CN"/>
              </w:rPr>
              <w:t>信息管理</w:t>
            </w:r>
          </w:p>
        </w:tc>
        <w:tc>
          <w:tcPr>
            <w:tcW w:w="1909" w:type="dxa"/>
            <w:vAlign w:val="center"/>
          </w:tcPr>
          <w:p>
            <w:pPr>
              <w:spacing w:line="240" w:lineRule="auto"/>
              <w:jc w:val="center"/>
              <w:rPr>
                <w:rFonts w:hint="eastAsia" w:ascii="仿宋_GB2312" w:eastAsia="仿宋_GB2312"/>
                <w:color w:val="000000"/>
                <w:sz w:val="24"/>
                <w:szCs w:val="24"/>
              </w:rPr>
            </w:pPr>
            <w:r>
              <w:rPr>
                <w:rFonts w:hint="eastAsia" w:ascii="仿宋_GB2312" w:eastAsia="仿宋_GB2312"/>
                <w:color w:val="000000"/>
                <w:sz w:val="24"/>
                <w:szCs w:val="24"/>
                <w:lang w:eastAsia="zh-CN"/>
              </w:rPr>
              <w:t>副教授</w:t>
            </w:r>
            <w:r>
              <w:rPr>
                <w:rFonts w:hint="eastAsia" w:ascii="仿宋_GB2312" w:eastAsia="仿宋_GB2312"/>
                <w:color w:val="000000"/>
                <w:sz w:val="24"/>
                <w:szCs w:val="24"/>
                <w:lang w:val="en-US" w:eastAsia="zh-CN"/>
              </w:rPr>
              <w:t>/博士</w:t>
            </w:r>
          </w:p>
        </w:tc>
        <w:tc>
          <w:tcPr>
            <w:tcW w:w="1884" w:type="dxa"/>
            <w:vAlign w:val="center"/>
          </w:tcPr>
          <w:p>
            <w:pPr>
              <w:spacing w:line="240" w:lineRule="auto"/>
              <w:ind w:firstLine="480" w:firstLineChars="200"/>
              <w:jc w:val="center"/>
              <w:rPr>
                <w:rFonts w:hint="eastAsia" w:ascii="仿宋_GB2312" w:eastAsia="仿宋_GB2312"/>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5" w:hRule="atLeast"/>
        </w:trPr>
        <w:tc>
          <w:tcPr>
            <w:tcW w:w="1025" w:type="dxa"/>
            <w:vAlign w:val="center"/>
          </w:tcPr>
          <w:p>
            <w:pPr>
              <w:spacing w:line="240" w:lineRule="auto"/>
              <w:jc w:val="center"/>
              <w:rPr>
                <w:rFonts w:hint="eastAsia" w:ascii="仿宋_GB2312" w:eastAsia="仿宋_GB2312"/>
                <w:color w:val="000000"/>
                <w:sz w:val="24"/>
                <w:szCs w:val="24"/>
              </w:rPr>
            </w:pPr>
            <w:r>
              <w:rPr>
                <w:rFonts w:hint="eastAsia" w:ascii="仿宋_GB2312" w:eastAsia="仿宋_GB2312"/>
                <w:color w:val="000000"/>
                <w:sz w:val="24"/>
                <w:szCs w:val="24"/>
              </w:rPr>
              <w:t>5</w:t>
            </w:r>
          </w:p>
        </w:tc>
        <w:tc>
          <w:tcPr>
            <w:tcW w:w="1498" w:type="dxa"/>
            <w:vAlign w:val="center"/>
          </w:tcPr>
          <w:p>
            <w:pPr>
              <w:spacing w:line="240" w:lineRule="auto"/>
              <w:jc w:val="center"/>
              <w:rPr>
                <w:rFonts w:hint="eastAsia" w:ascii="仿宋_GB2312" w:eastAsia="仿宋_GB2312"/>
                <w:color w:val="000000"/>
                <w:sz w:val="24"/>
                <w:szCs w:val="24"/>
                <w:lang w:eastAsia="zh-CN"/>
              </w:rPr>
            </w:pPr>
            <w:r>
              <w:rPr>
                <w:rFonts w:hint="eastAsia" w:ascii="仿宋_GB2312" w:eastAsia="仿宋_GB2312"/>
                <w:color w:val="000000"/>
                <w:sz w:val="24"/>
                <w:szCs w:val="24"/>
                <w:lang w:eastAsia="zh-CN"/>
              </w:rPr>
              <w:t>李国章</w:t>
            </w:r>
          </w:p>
        </w:tc>
        <w:tc>
          <w:tcPr>
            <w:tcW w:w="1560" w:type="dxa"/>
            <w:vAlign w:val="center"/>
          </w:tcPr>
          <w:p>
            <w:pPr>
              <w:spacing w:line="240" w:lineRule="auto"/>
              <w:jc w:val="center"/>
              <w:rPr>
                <w:rFonts w:hint="eastAsia" w:ascii="仿宋_GB2312" w:eastAsia="仿宋_GB2312"/>
                <w:color w:val="000000"/>
                <w:sz w:val="24"/>
                <w:szCs w:val="24"/>
                <w:lang w:eastAsia="zh-CN"/>
              </w:rPr>
            </w:pPr>
            <w:r>
              <w:rPr>
                <w:rFonts w:hint="eastAsia" w:ascii="仿宋_GB2312" w:eastAsia="仿宋_GB2312"/>
                <w:color w:val="000000"/>
                <w:sz w:val="24"/>
                <w:szCs w:val="24"/>
                <w:lang w:eastAsia="zh-CN"/>
              </w:rPr>
              <w:t>仪器管理</w:t>
            </w:r>
          </w:p>
        </w:tc>
        <w:tc>
          <w:tcPr>
            <w:tcW w:w="1909" w:type="dxa"/>
            <w:vAlign w:val="center"/>
          </w:tcPr>
          <w:p>
            <w:pPr>
              <w:spacing w:line="240" w:lineRule="auto"/>
              <w:jc w:val="center"/>
              <w:rPr>
                <w:rFonts w:hint="eastAsia" w:ascii="仿宋_GB2312" w:eastAsia="仿宋_GB2312"/>
                <w:color w:val="000000"/>
                <w:sz w:val="24"/>
                <w:szCs w:val="24"/>
              </w:rPr>
            </w:pPr>
            <w:r>
              <w:rPr>
                <w:rFonts w:hint="eastAsia" w:ascii="仿宋_GB2312" w:eastAsia="仿宋_GB2312"/>
                <w:color w:val="000000"/>
                <w:sz w:val="24"/>
                <w:szCs w:val="24"/>
                <w:lang w:eastAsia="zh-CN"/>
              </w:rPr>
              <w:t>副教授</w:t>
            </w:r>
            <w:r>
              <w:rPr>
                <w:rFonts w:hint="eastAsia" w:ascii="仿宋_GB2312" w:eastAsia="仿宋_GB2312"/>
                <w:color w:val="000000"/>
                <w:sz w:val="24"/>
                <w:szCs w:val="24"/>
                <w:lang w:val="en-US" w:eastAsia="zh-CN"/>
              </w:rPr>
              <w:t>/硕士</w:t>
            </w:r>
          </w:p>
        </w:tc>
        <w:tc>
          <w:tcPr>
            <w:tcW w:w="1884" w:type="dxa"/>
            <w:tcBorders>
              <w:bottom w:val="single" w:color="auto" w:sz="4" w:space="0"/>
            </w:tcBorders>
            <w:vAlign w:val="center"/>
          </w:tcPr>
          <w:p>
            <w:pPr>
              <w:spacing w:line="240" w:lineRule="auto"/>
              <w:ind w:firstLine="480" w:firstLineChars="200"/>
              <w:jc w:val="center"/>
              <w:rPr>
                <w:rFonts w:hint="eastAsia" w:ascii="仿宋_GB2312" w:eastAsia="仿宋_GB2312"/>
                <w:color w:val="000000"/>
                <w:sz w:val="24"/>
                <w:szCs w:val="24"/>
              </w:rPr>
            </w:pPr>
          </w:p>
        </w:tc>
      </w:tr>
    </w:tbl>
    <w:p>
      <w:pPr>
        <w:spacing w:line="360" w:lineRule="auto"/>
        <w:ind w:firstLine="562" w:firstLineChars="200"/>
        <w:rPr>
          <w:rFonts w:eastAsia="仿宋_GB2312"/>
          <w:b/>
          <w:color w:val="000000"/>
          <w:sz w:val="28"/>
          <w:szCs w:val="28"/>
        </w:rPr>
      </w:pPr>
      <w:r>
        <w:rPr>
          <w:rFonts w:eastAsia="仿宋_GB2312"/>
          <w:b/>
          <w:color w:val="000000"/>
          <w:sz w:val="28"/>
          <w:szCs w:val="28"/>
        </w:rPr>
        <w:t>八、项目建设单位审核意见</w:t>
      </w:r>
    </w:p>
    <w:p>
      <w:pPr>
        <w:spacing w:line="360" w:lineRule="auto"/>
        <w:ind w:firstLine="560" w:firstLineChars="200"/>
        <w:rPr>
          <w:rFonts w:hint="eastAsia" w:eastAsia="仿宋_GB2312"/>
          <w:color w:val="000000"/>
          <w:sz w:val="28"/>
          <w:szCs w:val="28"/>
          <w:lang w:eastAsia="zh-CN"/>
        </w:rPr>
      </w:pPr>
      <w:r>
        <w:rPr>
          <w:rFonts w:hint="eastAsia" w:eastAsia="仿宋_GB2312"/>
          <w:color w:val="000000"/>
          <w:sz w:val="28"/>
          <w:szCs w:val="28"/>
          <w:lang w:eastAsia="zh-CN"/>
        </w:rPr>
        <w:t>该设备购置论证报告论证内容属实，设备系学院教学及科研工作急需设备，对提高本科及研究生人才培养质量及创新能力培养具有重要意义。</w:t>
      </w:r>
    </w:p>
    <w:p>
      <w:pPr>
        <w:spacing w:line="360" w:lineRule="auto"/>
        <w:ind w:firstLine="560" w:firstLineChars="200"/>
        <w:rPr>
          <w:rFonts w:hint="eastAsia" w:eastAsia="仿宋_GB2312"/>
          <w:color w:val="000000"/>
          <w:sz w:val="28"/>
          <w:szCs w:val="28"/>
          <w:lang w:eastAsia="zh-CN"/>
        </w:rPr>
      </w:pPr>
      <w:r>
        <w:rPr>
          <w:rFonts w:hint="eastAsia" w:eastAsia="仿宋_GB2312"/>
          <w:color w:val="000000"/>
          <w:sz w:val="28"/>
          <w:szCs w:val="28"/>
          <w:lang w:eastAsia="zh-CN"/>
        </w:rPr>
        <w:t>同意购置该设备。</w:t>
      </w:r>
    </w:p>
    <w:p>
      <w:pPr>
        <w:spacing w:line="360" w:lineRule="auto"/>
        <w:ind w:firstLine="560" w:firstLineChars="200"/>
        <w:rPr>
          <w:rFonts w:eastAsia="仿宋_GB2312"/>
          <w:color w:val="000000"/>
          <w:sz w:val="24"/>
        </w:rPr>
      </w:pPr>
      <w:r>
        <w:rPr>
          <w:rFonts w:eastAsia="仿宋_GB2312"/>
          <w:color w:val="000000"/>
          <w:sz w:val="28"/>
          <w:szCs w:val="28"/>
        </w:rPr>
        <w:t xml:space="preserve">                        </w:t>
      </w:r>
      <w:r>
        <w:rPr>
          <w:rFonts w:hint="eastAsia" w:eastAsia="仿宋_GB2312"/>
          <w:color w:val="000000"/>
          <w:sz w:val="28"/>
          <w:szCs w:val="28"/>
          <w:lang w:eastAsia="zh-CN"/>
        </w:rPr>
        <w:t>吉首大学旅游与管理工程学院</w:t>
      </w:r>
      <w:r>
        <w:rPr>
          <w:rFonts w:eastAsia="仿宋_GB2312"/>
          <w:color w:val="000000"/>
          <w:sz w:val="24"/>
        </w:rPr>
        <w:t>（盖章）</w:t>
      </w:r>
    </w:p>
    <w:p>
      <w:pPr>
        <w:spacing w:line="360" w:lineRule="auto"/>
        <w:ind w:firstLine="560" w:firstLineChars="200"/>
        <w:rPr>
          <w:rFonts w:eastAsia="仿宋_GB2312"/>
          <w:color w:val="000000"/>
          <w:sz w:val="28"/>
          <w:szCs w:val="28"/>
        </w:rPr>
      </w:pPr>
      <w:r>
        <w:rPr>
          <w:rFonts w:eastAsia="仿宋_GB2312"/>
          <w:color w:val="000000"/>
          <w:sz w:val="28"/>
          <w:szCs w:val="28"/>
        </w:rPr>
        <w:t xml:space="preserve">                                      </w:t>
      </w:r>
      <w:r>
        <w:rPr>
          <w:rFonts w:hint="eastAsia" w:eastAsia="仿宋_GB2312"/>
          <w:color w:val="000000"/>
          <w:sz w:val="28"/>
          <w:szCs w:val="28"/>
          <w:lang w:val="en-US" w:eastAsia="zh-CN"/>
        </w:rPr>
        <w:t>2017</w:t>
      </w:r>
      <w:r>
        <w:rPr>
          <w:rFonts w:eastAsia="仿宋_GB2312"/>
          <w:color w:val="000000"/>
          <w:sz w:val="28"/>
          <w:szCs w:val="28"/>
        </w:rPr>
        <w:t>年</w:t>
      </w:r>
      <w:r>
        <w:rPr>
          <w:rFonts w:hint="eastAsia" w:eastAsia="仿宋_GB2312"/>
          <w:color w:val="000000"/>
          <w:sz w:val="28"/>
          <w:szCs w:val="28"/>
          <w:lang w:val="en-US" w:eastAsia="zh-CN"/>
        </w:rPr>
        <w:t>8</w:t>
      </w:r>
      <w:r>
        <w:rPr>
          <w:rFonts w:eastAsia="仿宋_GB2312"/>
          <w:color w:val="000000"/>
          <w:sz w:val="28"/>
          <w:szCs w:val="28"/>
        </w:rPr>
        <w:t xml:space="preserve"> 月</w:t>
      </w:r>
      <w:r>
        <w:rPr>
          <w:rFonts w:hint="eastAsia" w:eastAsia="仿宋_GB2312"/>
          <w:color w:val="000000"/>
          <w:sz w:val="28"/>
          <w:szCs w:val="28"/>
          <w:lang w:val="en-US" w:eastAsia="zh-CN"/>
        </w:rPr>
        <w:t>26</w:t>
      </w:r>
      <w:r>
        <w:rPr>
          <w:rFonts w:eastAsia="仿宋_GB2312"/>
          <w:color w:val="000000"/>
          <w:sz w:val="28"/>
          <w:szCs w:val="28"/>
        </w:rPr>
        <w:t xml:space="preserve"> 日</w:t>
      </w:r>
    </w:p>
    <w:p>
      <w:pPr>
        <w:spacing w:line="360" w:lineRule="auto"/>
        <w:ind w:firstLine="562" w:firstLineChars="200"/>
        <w:rPr>
          <w:rFonts w:eastAsia="仿宋_GB2312"/>
          <w:b/>
          <w:color w:val="000000"/>
          <w:sz w:val="28"/>
          <w:szCs w:val="28"/>
        </w:rPr>
      </w:pPr>
      <w:bookmarkStart w:id="0" w:name="_GoBack"/>
      <w:r>
        <w:rPr>
          <w:rFonts w:eastAsia="仿宋_GB2312"/>
          <w:b/>
          <w:color w:val="000000"/>
          <w:sz w:val="28"/>
          <w:szCs w:val="28"/>
        </w:rPr>
        <w:t>九、学校主管部门审核意见</w:t>
      </w:r>
    </w:p>
    <w:p>
      <w:pPr>
        <w:spacing w:line="360" w:lineRule="auto"/>
        <w:ind w:firstLine="480" w:firstLineChars="200"/>
        <w:rPr>
          <w:rFonts w:hint="eastAsia" w:eastAsia="仿宋_GB2312"/>
          <w:color w:val="000000"/>
          <w:sz w:val="24"/>
          <w:lang w:eastAsia="zh-CN"/>
        </w:rPr>
      </w:pPr>
      <w:r>
        <w:rPr>
          <w:rFonts w:hint="eastAsia" w:eastAsia="仿宋_GB2312"/>
          <w:color w:val="000000"/>
          <w:sz w:val="24"/>
          <w:lang w:eastAsia="zh-CN"/>
        </w:rPr>
        <w:t>同意购置该设备</w:t>
      </w:r>
    </w:p>
    <w:p>
      <w:pPr>
        <w:spacing w:line="360" w:lineRule="auto"/>
        <w:ind w:firstLine="560" w:firstLineChars="200"/>
        <w:rPr>
          <w:rFonts w:eastAsia="仿宋_GB2312"/>
          <w:color w:val="000000"/>
          <w:sz w:val="28"/>
          <w:szCs w:val="28"/>
        </w:rPr>
      </w:pPr>
    </w:p>
    <w:p>
      <w:pPr>
        <w:spacing w:line="360" w:lineRule="auto"/>
        <w:ind w:firstLine="560" w:firstLineChars="200"/>
        <w:jc w:val="left"/>
        <w:rPr>
          <w:rFonts w:eastAsia="仿宋_GB2312"/>
          <w:color w:val="000000"/>
          <w:szCs w:val="21"/>
        </w:rPr>
      </w:pPr>
      <w:r>
        <w:rPr>
          <w:rFonts w:eastAsia="仿宋_GB2312"/>
          <w:color w:val="000000"/>
          <w:sz w:val="28"/>
          <w:szCs w:val="28"/>
        </w:rPr>
        <w:t xml:space="preserve">                                   </w:t>
      </w:r>
      <w:r>
        <w:rPr>
          <w:rFonts w:hint="eastAsia" w:eastAsia="仿宋_GB2312"/>
          <w:color w:val="000000"/>
          <w:sz w:val="28"/>
          <w:szCs w:val="28"/>
          <w:lang w:eastAsia="zh-CN"/>
        </w:rPr>
        <w:t>实验室与设备管理中心</w:t>
      </w:r>
    </w:p>
    <w:p>
      <w:pPr>
        <w:spacing w:line="360" w:lineRule="auto"/>
        <w:ind w:firstLine="560" w:firstLineChars="200"/>
        <w:jc w:val="left"/>
        <w:rPr>
          <w:rFonts w:eastAsia="仿宋_GB2312"/>
          <w:color w:val="000000"/>
          <w:sz w:val="28"/>
          <w:szCs w:val="28"/>
        </w:rPr>
      </w:pPr>
      <w:r>
        <w:rPr>
          <w:rFonts w:eastAsia="仿宋_GB2312"/>
          <w:color w:val="000000"/>
          <w:sz w:val="28"/>
          <w:szCs w:val="28"/>
        </w:rPr>
        <w:t xml:space="preserve">                                     </w:t>
      </w:r>
      <w:r>
        <w:rPr>
          <w:rFonts w:hint="eastAsia" w:eastAsia="仿宋_GB2312"/>
          <w:color w:val="000000"/>
          <w:sz w:val="28"/>
          <w:szCs w:val="28"/>
          <w:lang w:val="en-US" w:eastAsia="zh-CN"/>
        </w:rPr>
        <w:t>2017</w:t>
      </w:r>
      <w:r>
        <w:rPr>
          <w:rFonts w:eastAsia="仿宋_GB2312"/>
          <w:color w:val="000000"/>
          <w:sz w:val="28"/>
          <w:szCs w:val="28"/>
        </w:rPr>
        <w:t>年</w:t>
      </w:r>
      <w:r>
        <w:rPr>
          <w:rFonts w:hint="eastAsia" w:eastAsia="仿宋_GB2312"/>
          <w:color w:val="000000"/>
          <w:sz w:val="28"/>
          <w:szCs w:val="28"/>
          <w:lang w:val="en-US" w:eastAsia="zh-CN"/>
        </w:rPr>
        <w:t>8</w:t>
      </w:r>
      <w:r>
        <w:rPr>
          <w:rFonts w:eastAsia="仿宋_GB2312"/>
          <w:color w:val="000000"/>
          <w:sz w:val="28"/>
          <w:szCs w:val="28"/>
        </w:rPr>
        <w:t>月</w:t>
      </w:r>
      <w:r>
        <w:rPr>
          <w:rFonts w:hint="eastAsia" w:eastAsia="仿宋_GB2312"/>
          <w:color w:val="000000"/>
          <w:sz w:val="28"/>
          <w:szCs w:val="28"/>
          <w:lang w:val="en-US" w:eastAsia="zh-CN"/>
        </w:rPr>
        <w:t>26</w:t>
      </w:r>
      <w:r>
        <w:rPr>
          <w:rFonts w:eastAsia="仿宋_GB2312"/>
          <w:color w:val="000000"/>
          <w:sz w:val="28"/>
          <w:szCs w:val="28"/>
        </w:rPr>
        <w:t xml:space="preserve"> 日</w:t>
      </w:r>
    </w:p>
    <w:p>
      <w:pPr>
        <w:spacing w:line="360" w:lineRule="auto"/>
        <w:ind w:firstLine="562" w:firstLineChars="200"/>
        <w:rPr>
          <w:rFonts w:eastAsia="仿宋_GB2312"/>
          <w:b/>
          <w:color w:val="000000"/>
          <w:sz w:val="28"/>
          <w:szCs w:val="28"/>
        </w:rPr>
      </w:pPr>
      <w:r>
        <w:rPr>
          <w:rFonts w:eastAsia="仿宋_GB2312"/>
          <w:b/>
          <w:color w:val="000000"/>
          <w:sz w:val="28"/>
          <w:szCs w:val="28"/>
        </w:rPr>
        <w:t>十、主管校领导审核意见</w:t>
      </w:r>
    </w:p>
    <w:p>
      <w:pPr>
        <w:spacing w:line="360" w:lineRule="auto"/>
        <w:ind w:firstLine="560" w:firstLineChars="200"/>
        <w:rPr>
          <w:rFonts w:hint="eastAsia" w:eastAsia="仿宋_GB2312"/>
          <w:color w:val="000000"/>
          <w:sz w:val="28"/>
          <w:szCs w:val="28"/>
          <w:lang w:eastAsia="zh-CN"/>
        </w:rPr>
      </w:pPr>
      <w:r>
        <w:rPr>
          <w:rFonts w:hint="eastAsia" w:eastAsia="仿宋_GB2312"/>
          <w:color w:val="000000"/>
          <w:sz w:val="28"/>
          <w:szCs w:val="28"/>
          <w:lang w:eastAsia="zh-CN"/>
        </w:rPr>
        <w:t>同意购置</w:t>
      </w:r>
    </w:p>
    <w:p>
      <w:pPr>
        <w:spacing w:line="360" w:lineRule="auto"/>
        <w:ind w:firstLine="560" w:firstLineChars="200"/>
        <w:rPr>
          <w:rFonts w:hint="eastAsia" w:eastAsia="仿宋_GB2312"/>
          <w:color w:val="000000"/>
          <w:sz w:val="28"/>
          <w:szCs w:val="28"/>
          <w:lang w:val="en-US" w:eastAsia="zh-CN"/>
        </w:rPr>
      </w:pPr>
      <w:r>
        <w:rPr>
          <w:rFonts w:hint="eastAsia" w:eastAsia="仿宋_GB2312"/>
          <w:color w:val="000000"/>
          <w:sz w:val="28"/>
          <w:szCs w:val="28"/>
          <w:lang w:val="en-US" w:eastAsia="zh-CN"/>
        </w:rPr>
        <w:t xml:space="preserve">                                       黎奇升</w:t>
      </w:r>
    </w:p>
    <w:p>
      <w:pPr>
        <w:spacing w:line="360" w:lineRule="auto"/>
        <w:ind w:firstLine="560" w:firstLineChars="200"/>
        <w:rPr>
          <w:rFonts w:eastAsia="仿宋_GB2312"/>
          <w:color w:val="000000"/>
          <w:sz w:val="28"/>
          <w:szCs w:val="28"/>
        </w:rPr>
      </w:pPr>
      <w:r>
        <w:rPr>
          <w:rFonts w:eastAsia="仿宋_GB2312"/>
          <w:color w:val="000000"/>
          <w:sz w:val="28"/>
          <w:szCs w:val="28"/>
        </w:rPr>
        <w:t xml:space="preserve">                                     </w:t>
      </w:r>
      <w:r>
        <w:rPr>
          <w:rFonts w:hint="eastAsia" w:eastAsia="仿宋_GB2312"/>
          <w:color w:val="000000"/>
          <w:sz w:val="28"/>
          <w:szCs w:val="28"/>
          <w:lang w:val="en-US" w:eastAsia="zh-CN"/>
        </w:rPr>
        <w:t>2017</w:t>
      </w:r>
      <w:r>
        <w:rPr>
          <w:rFonts w:eastAsia="仿宋_GB2312"/>
          <w:color w:val="000000"/>
          <w:sz w:val="28"/>
          <w:szCs w:val="28"/>
        </w:rPr>
        <w:t>年</w:t>
      </w:r>
      <w:r>
        <w:rPr>
          <w:rFonts w:hint="eastAsia" w:eastAsia="仿宋_GB2312"/>
          <w:color w:val="000000"/>
          <w:sz w:val="28"/>
          <w:szCs w:val="28"/>
          <w:lang w:val="en-US" w:eastAsia="zh-CN"/>
        </w:rPr>
        <w:t>8</w:t>
      </w:r>
      <w:r>
        <w:rPr>
          <w:rFonts w:eastAsia="仿宋_GB2312"/>
          <w:color w:val="000000"/>
          <w:sz w:val="28"/>
          <w:szCs w:val="28"/>
        </w:rPr>
        <w:t>月</w:t>
      </w:r>
      <w:r>
        <w:rPr>
          <w:rFonts w:hint="eastAsia" w:eastAsia="仿宋_GB2312"/>
          <w:color w:val="000000"/>
          <w:sz w:val="28"/>
          <w:szCs w:val="28"/>
          <w:lang w:val="en-US" w:eastAsia="zh-CN"/>
        </w:rPr>
        <w:t>26</w:t>
      </w:r>
      <w:r>
        <w:rPr>
          <w:rFonts w:eastAsia="仿宋_GB2312"/>
          <w:color w:val="000000"/>
          <w:sz w:val="28"/>
          <w:szCs w:val="28"/>
        </w:rPr>
        <w:t xml:space="preserve"> 日</w:t>
      </w:r>
    </w:p>
    <w:bookmarkEnd w:id="0"/>
    <w:p>
      <w:pPr>
        <w:spacing w:line="360" w:lineRule="auto"/>
        <w:ind w:firstLine="420" w:firstLineChars="200"/>
      </w:pPr>
    </w:p>
    <w:p>
      <w:pPr>
        <w:spacing w:line="360" w:lineRule="auto"/>
        <w:ind w:firstLine="562" w:firstLineChars="200"/>
        <w:rPr>
          <w:rFonts w:eastAsia="仿宋_GB2312"/>
          <w:b/>
          <w:color w:val="000000"/>
          <w:sz w:val="28"/>
          <w:szCs w:val="28"/>
        </w:rPr>
      </w:pPr>
    </w:p>
    <w:p>
      <w:pPr>
        <w:ind w:firstLine="480" w:firstLineChars="200"/>
        <w:rPr>
          <w:rFonts w:eastAsia="仿宋_GB2312"/>
          <w:sz w:val="24"/>
        </w:rPr>
      </w:pPr>
    </w:p>
    <w:p>
      <w:pPr>
        <w:jc w:val="cente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10" w:usb3="00000000" w:csb0="00040000" w:csb1="00000000"/>
  </w:font>
  <w:font w:name="仿宋_GB2312">
    <w:altName w:val="仿宋"/>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 w:name="新宋体">
    <w:panose1 w:val="02010609030101010101"/>
    <w:charset w:val="86"/>
    <w:family w:val="auto"/>
    <w:pitch w:val="default"/>
    <w:sig w:usb0="00000003" w:usb1="288F0000" w:usb2="00000006" w:usb3="00000000" w:csb0="00040001" w:csb1="00000000"/>
  </w:font>
  <w:font w:name="方正兰亭超细黑简体">
    <w:panose1 w:val="02000000000000000000"/>
    <w:charset w:val="86"/>
    <w:family w:val="auto"/>
    <w:pitch w:val="default"/>
    <w:sig w:usb0="00000001" w:usb1="08000000" w:usb2="00000000" w:usb3="00000000" w:csb0="00040000" w:csb1="00000000"/>
  </w:font>
  <w:font w:name="楷体">
    <w:panose1 w:val="02010609060101010101"/>
    <w:charset w:val="86"/>
    <w:family w:val="auto"/>
    <w:pitch w:val="default"/>
    <w:sig w:usb0="800002BF" w:usb1="38CF7CFA" w:usb2="00000016" w:usb3="00000000" w:csb0="00040001" w:csb1="00000000"/>
  </w:font>
  <w:font w:name="Microsoft JhengHei">
    <w:panose1 w:val="020B0604030504040204"/>
    <w:charset w:val="88"/>
    <w:family w:val="auto"/>
    <w:pitch w:val="default"/>
    <w:sig w:usb0="00000087" w:usb1="28AF4000" w:usb2="00000016" w:usb3="00000000" w:csb0="00100009" w:csb1="00000000"/>
  </w:font>
  <w:font w:name="MingLiU-ExtB">
    <w:panose1 w:val="02020500000000000000"/>
    <w:charset w:val="88"/>
    <w:family w:val="auto"/>
    <w:pitch w:val="default"/>
    <w:sig w:usb0="8000002F" w:usb1="02000008" w:usb2="00000000" w:usb3="00000000" w:csb0="00100001" w:csb1="00000000"/>
  </w:font>
  <w:font w:name="MingLiU_HKSCS">
    <w:panose1 w:val="02020500000000000000"/>
    <w:charset w:val="88"/>
    <w:family w:val="auto"/>
    <w:pitch w:val="default"/>
    <w:sig w:usb0="A00002FF" w:usb1="38CFFCFA" w:usb2="00000016" w:usb3="00000000" w:csb0="00100001" w:csb1="00000000"/>
  </w:font>
  <w:font w:name="MS PGothic">
    <w:panose1 w:val="020B0600070205080204"/>
    <w:charset w:val="80"/>
    <w:family w:val="auto"/>
    <w:pitch w:val="default"/>
    <w:sig w:usb0="E00002FF" w:usb1="6AC7FDFB" w:usb2="00000012" w:usb3="00000000" w:csb0="4002009F" w:csb1="DFD70000"/>
  </w:font>
  <w:font w:name="PMingLiU-ExtB">
    <w:panose1 w:val="02020500000000000000"/>
    <w:charset w:val="88"/>
    <w:family w:val="auto"/>
    <w:pitch w:val="default"/>
    <w:sig w:usb0="8000002F" w:usb1="02000008" w:usb2="00000000" w:usb3="00000000" w:csb0="00100001" w:csb1="00000000"/>
  </w:font>
  <w:font w:name="SimSun-ExtB">
    <w:panose1 w:val="02010609060101010101"/>
    <w:charset w:val="86"/>
    <w:family w:val="auto"/>
    <w:pitch w:val="default"/>
    <w:sig w:usb0="00000001" w:usb1="02000000" w:usb2="00000000" w:usb3="00000000" w:csb0="00040001" w:csb1="00000000"/>
  </w:font>
  <w:font w:name="Andalus">
    <w:panose1 w:val="02020603050405020304"/>
    <w:charset w:val="00"/>
    <w:family w:val="auto"/>
    <w:pitch w:val="default"/>
    <w:sig w:usb0="00002003" w:usb1="80000000" w:usb2="00000008" w:usb3="00000000" w:csb0="00000041" w:csb1="20080000"/>
  </w:font>
  <w:font w:name="Aparajita">
    <w:panose1 w:val="020B0604020202020204"/>
    <w:charset w:val="00"/>
    <w:family w:val="auto"/>
    <w:pitch w:val="default"/>
    <w:sig w:usb0="00008003" w:usb1="00000000" w:usb2="00000000" w:usb3="00000000" w:csb0="00000001" w:csb1="00000000"/>
  </w:font>
  <w:font w:name="Arial Narrow">
    <w:altName w:val="Arial"/>
    <w:panose1 w:val="020B0506020202030204"/>
    <w:charset w:val="00"/>
    <w:family w:val="auto"/>
    <w:pitch w:val="default"/>
    <w:sig w:usb0="00000000" w:usb1="00000000" w:usb2="00000000" w:usb3="00000000" w:csb0="2000009F" w:csb1="DFD70000"/>
  </w:font>
  <w:font w:name="Book Antiqua">
    <w:altName w:val="Segoe Print"/>
    <w:panose1 w:val="02040602050305030304"/>
    <w:charset w:val="00"/>
    <w:family w:val="auto"/>
    <w:pitch w:val="default"/>
    <w:sig w:usb0="00000000" w:usb1="00000000" w:usb2="00000000" w:usb3="00000000" w:csb0="2000009F" w:csb1="DFD70000"/>
  </w:font>
  <w:font w:name="Bookman Old Style">
    <w:altName w:val="Segoe Print"/>
    <w:panose1 w:val="02050604050505020204"/>
    <w:charset w:val="00"/>
    <w:family w:val="auto"/>
    <w:pitch w:val="default"/>
    <w:sig w:usb0="00000000" w:usb1="00000000" w:usb2="00000000" w:usb3="00000000" w:csb0="2000009F" w:csb1="DFD70000"/>
  </w:font>
  <w:font w:name="Bookshelf Symbol 7">
    <w:panose1 w:val="05010101010101010101"/>
    <w:charset w:val="00"/>
    <w:family w:val="auto"/>
    <w:pitch w:val="default"/>
    <w:sig w:usb0="00000000" w:usb1="00000000" w:usb2="00000000" w:usb3="00000000" w:csb0="80000000" w:csb1="00000000"/>
  </w:font>
  <w:font w:name="Browallia New">
    <w:panose1 w:val="020B0604020202020204"/>
    <w:charset w:val="00"/>
    <w:family w:val="auto"/>
    <w:pitch w:val="default"/>
    <w:sig w:usb0="81000003" w:usb1="00000000" w:usb2="00000000" w:usb3="00000000" w:csb0="00010001" w:csb1="00000000"/>
  </w:font>
  <w:font w:name="Calibri Light">
    <w:panose1 w:val="020F0302020204030204"/>
    <w:charset w:val="00"/>
    <w:family w:val="auto"/>
    <w:pitch w:val="default"/>
    <w:sig w:usb0="A00002EF" w:usb1="4000207B" w:usb2="00000000" w:usb3="00000000" w:csb0="2000019F" w:csb1="00000000"/>
  </w:font>
  <w:font w:name="Cambria Math">
    <w:panose1 w:val="02040503050406030204"/>
    <w:charset w:val="00"/>
    <w:family w:val="auto"/>
    <w:pitch w:val="default"/>
    <w:sig w:usb0="E00002FF" w:usb1="420024FF" w:usb2="00000000" w:usb3="00000000" w:csb0="2000019F" w:csb1="00000000"/>
  </w:font>
  <w:font w:name="Constantia">
    <w:panose1 w:val="02030602050306030303"/>
    <w:charset w:val="00"/>
    <w:family w:val="auto"/>
    <w:pitch w:val="default"/>
    <w:sig w:usb0="A00002EF" w:usb1="4000204B" w:usb2="00000000" w:usb3="00000000" w:csb0="2000019F" w:csb1="00000000"/>
  </w:font>
  <w:font w:name="Corbel">
    <w:panose1 w:val="020B0503020204020204"/>
    <w:charset w:val="00"/>
    <w:family w:val="auto"/>
    <w:pitch w:val="default"/>
    <w:sig w:usb0="A00002EF" w:usb1="4000A44B" w:usb2="00000000" w:usb3="00000000" w:csb0="2000019F" w:csb1="00000000"/>
  </w:font>
  <w:font w:name="Cordia New">
    <w:panose1 w:val="020B0304020202020204"/>
    <w:charset w:val="00"/>
    <w:family w:val="auto"/>
    <w:pitch w:val="default"/>
    <w:sig w:usb0="81000003" w:usb1="00000000" w:usb2="00000000" w:usb3="00000000" w:csb0="00010001" w:csb1="00000000"/>
  </w:font>
  <w:font w:name="CordiaUPC">
    <w:panose1 w:val="020B0304020202020204"/>
    <w:charset w:val="00"/>
    <w:family w:val="auto"/>
    <w:pitch w:val="default"/>
    <w:sig w:usb0="81000003" w:usb1="00000000" w:usb2="00000000" w:usb3="00000000" w:csb0="00010001" w:csb1="00000000"/>
  </w:font>
  <w:font w:name="Courier New">
    <w:panose1 w:val="02070309020205020404"/>
    <w:charset w:val="00"/>
    <w:family w:val="auto"/>
    <w:pitch w:val="default"/>
    <w:sig w:usb0="E0002AFF" w:usb1="C0007843" w:usb2="00000009" w:usb3="00000000" w:csb0="400001FF" w:csb1="FFFF0000"/>
  </w:font>
  <w:font w:name="DaunPenh">
    <w:panose1 w:val="01010101010101010101"/>
    <w:charset w:val="00"/>
    <w:family w:val="auto"/>
    <w:pitch w:val="default"/>
    <w:sig w:usb0="00000003" w:usb1="00000000" w:usb2="00010000" w:usb3="00000000" w:csb0="00000001" w:csb1="00000000"/>
  </w:font>
  <w:font w:name="David">
    <w:panose1 w:val="020E0502060401010101"/>
    <w:charset w:val="00"/>
    <w:family w:val="auto"/>
    <w:pitch w:val="default"/>
    <w:sig w:usb0="00000801" w:usb1="00000000" w:usb2="00000000" w:usb3="00000000" w:csb0="00000020" w:csb1="00200000"/>
  </w:font>
  <w:font w:name="DilleniaUPC">
    <w:panose1 w:val="02020603050405020304"/>
    <w:charset w:val="00"/>
    <w:family w:val="auto"/>
    <w:pitch w:val="default"/>
    <w:sig w:usb0="81000027" w:usb1="00000002" w:usb2="00000000" w:usb3="00000000" w:csb0="00010001" w:csb1="00000000"/>
  </w:font>
  <w:font w:name="Ebrima">
    <w:panose1 w:val="02000000000000000000"/>
    <w:charset w:val="00"/>
    <w:family w:val="auto"/>
    <w:pitch w:val="default"/>
    <w:sig w:usb0="A000505F" w:usb1="02000041" w:usb2="00000000" w:usb3="00000404" w:csb0="00000093" w:csb1="00000000"/>
  </w:font>
  <w:font w:name="EucrosiaUPC">
    <w:panose1 w:val="02020603050405020304"/>
    <w:charset w:val="00"/>
    <w:family w:val="auto"/>
    <w:pitch w:val="default"/>
    <w:sig w:usb0="81000027" w:usb1="00000002" w:usb2="00000000" w:usb3="00000000" w:csb0="00010001" w:csb1="00000000"/>
  </w:font>
  <w:font w:name="Euphemia">
    <w:panose1 w:val="020B0503040102020104"/>
    <w:charset w:val="00"/>
    <w:family w:val="auto"/>
    <w:pitch w:val="default"/>
    <w:sig w:usb0="8000006F" w:usb1="0000004A" w:usb2="00002000" w:usb3="00000000" w:csb0="00000001" w:csb1="00000000"/>
  </w:font>
  <w:font w:name="Franklin Gothic Medium">
    <w:panose1 w:val="020B0603020102020204"/>
    <w:charset w:val="00"/>
    <w:family w:val="auto"/>
    <w:pitch w:val="default"/>
    <w:sig w:usb0="00000287" w:usb1="00000000" w:usb2="00000000" w:usb3="00000000" w:csb0="2000009F" w:csb1="DFD70000"/>
  </w:font>
  <w:font w:name="Garamond">
    <w:altName w:val="PMingLiU-ExtB"/>
    <w:panose1 w:val="02020404030301010803"/>
    <w:charset w:val="00"/>
    <w:family w:val="auto"/>
    <w:pitch w:val="default"/>
    <w:sig w:usb0="00000000" w:usb1="00000000" w:usb2="00000000" w:usb3="00000000" w:csb0="0000009F" w:csb1="DFD70000"/>
  </w:font>
  <w:font w:name="Gautami">
    <w:panose1 w:val="020B0502040204020203"/>
    <w:charset w:val="00"/>
    <w:family w:val="auto"/>
    <w:pitch w:val="default"/>
    <w:sig w:usb0="00200003" w:usb1="00000000" w:usb2="00000000" w:usb3="00000000" w:csb0="00000001" w:csb1="00000000"/>
  </w:font>
  <w:font w:name="Impact">
    <w:panose1 w:val="020B0806030902050204"/>
    <w:charset w:val="00"/>
    <w:family w:val="auto"/>
    <w:pitch w:val="default"/>
    <w:sig w:usb0="00000287" w:usb1="00000000" w:usb2="00000000" w:usb3="00000000" w:csb0="2000009F" w:csb1="DFD70000"/>
  </w:font>
  <w:font w:name="Kartika">
    <w:panose1 w:val="02020503030404060203"/>
    <w:charset w:val="00"/>
    <w:family w:val="auto"/>
    <w:pitch w:val="default"/>
    <w:sig w:usb0="00800003" w:usb1="00000000" w:usb2="00000000" w:usb3="00000000" w:csb0="00000001" w:csb1="00000000"/>
  </w:font>
  <w:font w:name="Khmer UI">
    <w:panose1 w:val="020B0502040204020203"/>
    <w:charset w:val="00"/>
    <w:family w:val="auto"/>
    <w:pitch w:val="default"/>
    <w:sig w:usb0="8000002F" w:usb1="0000204A" w:usb2="00010000" w:usb3="00000000" w:csb0="00000001" w:csb1="00000000"/>
  </w:font>
  <w:font w:name="Levenim MT">
    <w:panose1 w:val="02010502060101010101"/>
    <w:charset w:val="00"/>
    <w:family w:val="auto"/>
    <w:pitch w:val="default"/>
    <w:sig w:usb0="00000801" w:usb1="00000000" w:usb2="00000000" w:usb3="00000000" w:csb0="00000020" w:csb1="00200000"/>
  </w:font>
  <w:font w:name="LilyUPC">
    <w:panose1 w:val="020B0604020202020204"/>
    <w:charset w:val="00"/>
    <w:family w:val="auto"/>
    <w:pitch w:val="default"/>
    <w:sig w:usb0="01000007" w:usb1="00000002" w:usb2="00000000" w:usb3="00000000" w:csb0="00010001" w:csb1="00000000"/>
  </w:font>
  <w:font w:name="Lucida Console">
    <w:panose1 w:val="020B0609040504020204"/>
    <w:charset w:val="00"/>
    <w:family w:val="auto"/>
    <w:pitch w:val="default"/>
    <w:sig w:usb0="8000028F" w:usb1="00001800" w:usb2="00000000" w:usb3="00000000" w:csb0="0000001F" w:csb1="D7D70000"/>
  </w:font>
  <w:font w:name="Microsoft PhagsPa">
    <w:panose1 w:val="020B0502040204020203"/>
    <w:charset w:val="00"/>
    <w:family w:val="auto"/>
    <w:pitch w:val="default"/>
    <w:sig w:usb0="00000003" w:usb1="00200000" w:usb2="08000000" w:usb3="00000000" w:csb0="00000001" w:csb1="00000000"/>
  </w:font>
  <w:font w:name="Microsoft Yi Baiti">
    <w:panose1 w:val="03000500000000000000"/>
    <w:charset w:val="00"/>
    <w:family w:val="auto"/>
    <w:pitch w:val="default"/>
    <w:sig w:usb0="80000003" w:usb1="00010402" w:usb2="00080002" w:usb3="00000000" w:csb0="00000001" w:csb1="00000000"/>
  </w:font>
  <w:font w:name="Miriam">
    <w:panose1 w:val="020B0502050101010101"/>
    <w:charset w:val="00"/>
    <w:family w:val="auto"/>
    <w:pitch w:val="default"/>
    <w:sig w:usb0="00000801" w:usb1="00000000" w:usb2="00000000" w:usb3="00000000" w:csb0="00000020" w:csb1="00200000"/>
  </w:font>
  <w:font w:name="Miriam Fixed">
    <w:panose1 w:val="020B0509050101010101"/>
    <w:charset w:val="00"/>
    <w:family w:val="auto"/>
    <w:pitch w:val="default"/>
    <w:sig w:usb0="00000801" w:usb1="00000000" w:usb2="00000000" w:usb3="00000000" w:csb0="00000020" w:csb1="00200000"/>
  </w:font>
  <w:font w:name="MS Reference Sans Serif">
    <w:altName w:val="Verdana"/>
    <w:panose1 w:val="020B0604030504040204"/>
    <w:charset w:val="00"/>
    <w:family w:val="auto"/>
    <w:pitch w:val="default"/>
    <w:sig w:usb0="00000000" w:usb1="00000000" w:usb2="00000000" w:usb3="00000000" w:csb0="2000019F" w:csb1="00000000"/>
  </w:font>
  <w:font w:name="MS Reference Specialty">
    <w:panose1 w:val="05000500000000000000"/>
    <w:charset w:val="00"/>
    <w:family w:val="auto"/>
    <w:pitch w:val="default"/>
    <w:sig w:usb0="00000000" w:usb1="00000000" w:usb2="00000000" w:usb3="00000000" w:csb0="80000000" w:csb1="00000000"/>
  </w:font>
  <w:font w:name="Palatino Linotype">
    <w:panose1 w:val="02040502050505030304"/>
    <w:charset w:val="00"/>
    <w:family w:val="auto"/>
    <w:pitch w:val="default"/>
    <w:sig w:usb0="E0000287" w:usb1="40000013" w:usb2="00000000" w:usb3="00000000" w:csb0="2000019F" w:csb1="00000000"/>
  </w:font>
  <w:font w:name="Segoe Print">
    <w:panose1 w:val="02000600000000000000"/>
    <w:charset w:val="00"/>
    <w:family w:val="auto"/>
    <w:pitch w:val="default"/>
    <w:sig w:usb0="0000028F" w:usb1="00000000" w:usb2="00000000" w:usb3="00000000" w:csb0="2000009F" w:csb1="47010000"/>
  </w:font>
  <w:font w:name="Segoe Script">
    <w:panose1 w:val="020B0504020000000003"/>
    <w:charset w:val="00"/>
    <w:family w:val="auto"/>
    <w:pitch w:val="default"/>
    <w:sig w:usb0="0000028F" w:usb1="00000000" w:usb2="00000000" w:usb3="00000000" w:csb0="0000009F" w:csb1="00000000"/>
  </w:font>
  <w:font w:name="Shonar Bangla">
    <w:panose1 w:val="020B0502040204020203"/>
    <w:charset w:val="00"/>
    <w:family w:val="auto"/>
    <w:pitch w:val="default"/>
    <w:sig w:usb0="00010003" w:usb1="00000000" w:usb2="00000000" w:usb3="00000000" w:csb0="00000001" w:csb1="00000000"/>
  </w:font>
  <w:font w:name="Sylfaen">
    <w:panose1 w:val="010A0502050306030303"/>
    <w:charset w:val="00"/>
    <w:family w:val="auto"/>
    <w:pitch w:val="default"/>
    <w:sig w:usb0="04000687" w:usb1="00000000" w:usb2="00000000" w:usb3="00000000" w:csb0="2000009F" w:csb1="00000000"/>
  </w:font>
  <w:font w:name="Tahoma">
    <w:panose1 w:val="020B0604030504040204"/>
    <w:charset w:val="00"/>
    <w:family w:val="auto"/>
    <w:pitch w:val="default"/>
    <w:sig w:usb0="E1002EFF" w:usb1="C000605B" w:usb2="00000029" w:usb3="00000000" w:csb0="200101FF" w:csb1="20280000"/>
  </w:font>
  <w:font w:name="Tunga">
    <w:panose1 w:val="020B0502040204020203"/>
    <w:charset w:val="00"/>
    <w:family w:val="auto"/>
    <w:pitch w:val="default"/>
    <w:sig w:usb0="00400003" w:usb1="00000000" w:usb2="00000000" w:usb3="00000000" w:csb0="00000001" w:csb1="00000000"/>
  </w:font>
  <w:font w:name="Utsaah">
    <w:panose1 w:val="020B0604020202020204"/>
    <w:charset w:val="00"/>
    <w:family w:val="auto"/>
    <w:pitch w:val="default"/>
    <w:sig w:usb0="00008003" w:usb1="00000000" w:usb2="00000000" w:usb3="00000000" w:csb0="00000001" w:csb1="00000000"/>
  </w:font>
  <w:font w:name="Vrinda">
    <w:panose1 w:val="020B0502040204020203"/>
    <w:charset w:val="00"/>
    <w:family w:val="auto"/>
    <w:pitch w:val="default"/>
    <w:sig w:usb0="00010003" w:usb1="00000000" w:usb2="00000000" w:usb3="00000000" w:csb0="00000001" w:csb1="00000000"/>
  </w:font>
  <w:font w:name="Vijaya">
    <w:panose1 w:val="020B0604020202020204"/>
    <w:charset w:val="00"/>
    <w:family w:val="auto"/>
    <w:pitch w:val="default"/>
    <w:sig w:usb0="00100003" w:usb1="00000000" w:usb2="00000000" w:usb3="00000000" w:csb0="00000001" w:csb1="00000000"/>
  </w:font>
  <w:font w:name="Verdana">
    <w:panose1 w:val="020B0604030504040204"/>
    <w:charset w:val="00"/>
    <w:family w:val="auto"/>
    <w:pitch w:val="default"/>
    <w:sig w:usb0="A10006FF" w:usb1="4000205B" w:usb2="00000010" w:usb3="00000000" w:csb0="2000019F" w:csb1="00000000"/>
  </w:font>
  <w:font w:name="Vani">
    <w:panose1 w:val="020B0502040204020203"/>
    <w:charset w:val="00"/>
    <w:family w:val="auto"/>
    <w:pitch w:val="default"/>
    <w:sig w:usb0="00200003" w:usb1="00000000" w:usb2="00000000" w:usb3="00000000" w:csb0="00000001" w:csb1="00000000"/>
  </w:font>
  <w:font w:name="Trebuchet MS">
    <w:panose1 w:val="020B0603020202020204"/>
    <w:charset w:val="00"/>
    <w:family w:val="auto"/>
    <w:pitch w:val="default"/>
    <w:sig w:usb0="00000287" w:usb1="00000000" w:usb2="00000000" w:usb3="00000000" w:csb0="2000009F" w:csb1="00000000"/>
  </w:font>
  <w:font w:name="Traditional Arabic">
    <w:panose1 w:val="02020603050405020304"/>
    <w:charset w:val="00"/>
    <w:family w:val="auto"/>
    <w:pitch w:val="default"/>
    <w:sig w:usb0="00006003" w:usb1="80000000" w:usb2="00000008" w:usb3="00000000" w:csb0="00000041" w:csb1="20080000"/>
  </w:font>
  <w:font w:name="Symbol">
    <w:panose1 w:val="05050102010706020507"/>
    <w:charset w:val="00"/>
    <w:family w:val="auto"/>
    <w:pitch w:val="default"/>
    <w:sig w:usb0="00000000" w:usb1="00000000" w:usb2="00000000" w:usb3="00000000" w:csb0="80000000" w:csb1="00000000"/>
  </w:font>
  <w:font w:name="Simplified Arabic Fixed">
    <w:panose1 w:val="02070309020205020404"/>
    <w:charset w:val="00"/>
    <w:family w:val="auto"/>
    <w:pitch w:val="default"/>
    <w:sig w:usb0="00002003" w:usb1="00000000" w:usb2="00000000" w:usb3="00000000" w:csb0="00000041" w:csb1="20080000"/>
  </w:font>
  <w:font w:name="Simplified Arabic">
    <w:panose1 w:val="02020603050405020304"/>
    <w:charset w:val="00"/>
    <w:family w:val="auto"/>
    <w:pitch w:val="default"/>
    <w:sig w:usb0="00002003" w:usb1="00000000" w:usb2="00000000" w:usb3="00000000" w:csb0="00000041" w:csb1="20080000"/>
  </w:font>
  <w:font w:name="Shruti">
    <w:panose1 w:val="020B0502040204020203"/>
    <w:charset w:val="00"/>
    <w:family w:val="auto"/>
    <w:pitch w:val="default"/>
    <w:sig w:usb0="00040003" w:usb1="00000000" w:usb2="00000000" w:usb3="00000000" w:csb0="00000001" w:csb1="00000000"/>
  </w:font>
  <w:font w:name="Segoe UI">
    <w:panose1 w:val="020B0502040204020203"/>
    <w:charset w:val="00"/>
    <w:family w:val="auto"/>
    <w:pitch w:val="default"/>
    <w:sig w:usb0="E10022FF" w:usb1="C000E47F" w:usb2="00000029" w:usb3="00000000" w:csb0="200001DF" w:csb1="20000000"/>
  </w:font>
  <w:font w:name="Plantagenet Cherokee">
    <w:panose1 w:val="02020602070100000000"/>
    <w:charset w:val="00"/>
    <w:family w:val="auto"/>
    <w:pitch w:val="default"/>
    <w:sig w:usb0="00000003" w:usb1="00000000" w:usb2="00001000" w:usb3="00000000" w:csb0="00000001" w:csb1="00000000"/>
  </w:font>
  <w:font w:name="Nyala">
    <w:panose1 w:val="02000504070300020003"/>
    <w:charset w:val="00"/>
    <w:family w:val="auto"/>
    <w:pitch w:val="default"/>
    <w:sig w:usb0="A000006F" w:usb1="00000000" w:usb2="00000800" w:usb3="00000000" w:csb0="00000093" w:csb1="00000000"/>
  </w:font>
  <w:font w:name="Narkisim">
    <w:panose1 w:val="020E0502050101010101"/>
    <w:charset w:val="00"/>
    <w:family w:val="auto"/>
    <w:pitch w:val="default"/>
    <w:sig w:usb0="00000801" w:usb1="00000000" w:usb2="00000000" w:usb3="00000000" w:csb0="00000020" w:csb1="00200000"/>
  </w:font>
  <w:font w:name="MV Boli">
    <w:panose1 w:val="02000500030200090000"/>
    <w:charset w:val="00"/>
    <w:family w:val="auto"/>
    <w:pitch w:val="default"/>
    <w:sig w:usb0="00000003" w:usb1="00000000" w:usb2="00000100" w:usb3="00000000" w:csb0="00000001" w:csb1="00000000"/>
  </w:font>
  <w:font w:name="Raavi">
    <w:panose1 w:val="020B0502040204020203"/>
    <w:charset w:val="00"/>
    <w:family w:val="auto"/>
    <w:pitch w:val="default"/>
    <w:sig w:usb0="00020003" w:usb1="00000000" w:usb2="00000000" w:usb3="00000000" w:csb0="00000001" w:csb1="00000000"/>
  </w:font>
  <w:font w:name="Sakkal Majalla">
    <w:panose1 w:val="02000000000000000000"/>
    <w:charset w:val="00"/>
    <w:family w:val="auto"/>
    <w:pitch w:val="default"/>
    <w:sig w:usb0="A000207F" w:usb1="C000204B" w:usb2="00000008" w:usb3="00000000" w:csb0="200000D3" w:csb1="00000000"/>
  </w:font>
  <w:font w:name="Segoe UI Light">
    <w:panose1 w:val="020B0502040204020203"/>
    <w:charset w:val="00"/>
    <w:family w:val="auto"/>
    <w:pitch w:val="default"/>
    <w:sig w:usb0="E00002FF" w:usb1="4000A47B" w:usb2="00000001" w:usb3="00000000" w:csb0="2000019F" w:csb1="00000000"/>
  </w:font>
  <w:font w:name="Segoe UI Semibold">
    <w:panose1 w:val="020B0702040204020203"/>
    <w:charset w:val="00"/>
    <w:family w:val="auto"/>
    <w:pitch w:val="default"/>
    <w:sig w:usb0="E00002FF" w:usb1="4000A47B" w:usb2="00000001" w:usb3="00000000" w:csb0="2000019F" w:csb1="00000000"/>
  </w:font>
  <w:font w:name="Segoe UI Symbol">
    <w:panose1 w:val="020B0502040204020203"/>
    <w:charset w:val="00"/>
    <w:family w:val="auto"/>
    <w:pitch w:val="default"/>
    <w:sig w:usb0="8000006F" w:usb1="1200FBEF" w:usb2="0064C000" w:usb3="00000002" w:csb0="00000001" w:csb1="40000000"/>
  </w:font>
  <w:font w:name="Arial">
    <w:panose1 w:val="020B0604020202020204"/>
    <w:charset w:val="00"/>
    <w:family w:val="swiss"/>
    <w:pitch w:val="default"/>
    <w:sig w:usb0="E0002AFF" w:usb1="C0007843" w:usb2="00000009" w:usb3="00000000" w:csb0="400001FF" w:csb1="FFFF0000"/>
  </w:font>
  <w:font w:name="隶书">
    <w:altName w:val="微软雅黑"/>
    <w:panose1 w:val="02010509060101010101"/>
    <w:charset w:val="86"/>
    <w:family w:val="modern"/>
    <w:pitch w:val="default"/>
    <w:sig w:usb0="00000000" w:usb1="00000000" w:usb2="00000010" w:usb3="00000000" w:csb0="00040000" w:csb1="00000000"/>
  </w:font>
  <w:font w:name="ArialMT">
    <w:altName w:val="Arial"/>
    <w:panose1 w:val="00000000000000000000"/>
    <w:charset w:val="00"/>
    <w:family w:val="swiss"/>
    <w:pitch w:val="default"/>
    <w:sig w:usb0="00000000" w:usb1="0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C67AB3"/>
    <w:rsid w:val="000479B2"/>
    <w:rsid w:val="00326B60"/>
    <w:rsid w:val="004451F3"/>
    <w:rsid w:val="006B294B"/>
    <w:rsid w:val="007C31AC"/>
    <w:rsid w:val="00851EDC"/>
    <w:rsid w:val="00C423B0"/>
    <w:rsid w:val="00C67AB3"/>
    <w:rsid w:val="00ED121B"/>
    <w:rsid w:val="272B4463"/>
    <w:rsid w:val="2D4350C9"/>
    <w:rsid w:val="2E1E2A08"/>
    <w:rsid w:val="3C8F7806"/>
    <w:rsid w:val="3D3E0885"/>
    <w:rsid w:val="402A23C0"/>
    <w:rsid w:val="54507995"/>
    <w:rsid w:val="61BC2D3B"/>
    <w:rsid w:val="706A3C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unhideWhenUsed/>
    <w:qFormat/>
    <w:uiPriority w:val="1"/>
  </w:style>
  <w:style w:type="table" w:default="1" w:styleId="5">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4"/>
    <w:link w:val="3"/>
    <w:semiHidden/>
    <w:qFormat/>
    <w:uiPriority w:val="99"/>
    <w:rPr>
      <w:sz w:val="18"/>
      <w:szCs w:val="18"/>
    </w:rPr>
  </w:style>
  <w:style w:type="character" w:customStyle="1" w:styleId="7">
    <w:name w:val="页脚 Char"/>
    <w:basedOn w:val="4"/>
    <w:link w:val="2"/>
    <w:semiHidden/>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Lenovo</Company>
  <Pages>6</Pages>
  <Words>532</Words>
  <Characters>3036</Characters>
  <Lines>25</Lines>
  <Paragraphs>7</Paragraphs>
  <ScaleCrop>false</ScaleCrop>
  <LinksUpToDate>false</LinksUpToDate>
  <CharactersWithSpaces>3561</CharactersWithSpaces>
  <Application>WPS Office_10.1.0.6749_F1E327BC-269C-435d-A152-05C5408002CA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2017-08-28T08:16:00Z</dcterms:created>
  <dc:creator>john</dc:creator>
  <cp:lastModifiedBy>Administrator</cp:lastModifiedBy>
  <dcterms:modified xsi:type="dcterms:W3CDTF">2017-08-29T07:05:36Z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2052-10.1.0.6749</vt:lpwstr>
  </property>
</Properties>
</file>